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9E" w:rsidRPr="00E93D99" w:rsidRDefault="0071449E" w:rsidP="00966A81">
      <w:pPr>
        <w:jc w:val="center"/>
        <w:rPr>
          <w:rFonts w:ascii="Calibri" w:hAnsi="Calibri"/>
          <w:sz w:val="32"/>
          <w:szCs w:val="32"/>
          <w:u w:val="single"/>
        </w:rPr>
      </w:pPr>
      <w:r w:rsidRPr="00E93D99">
        <w:rPr>
          <w:rFonts w:ascii="Calibri" w:hAnsi="Calibri"/>
          <w:sz w:val="32"/>
          <w:szCs w:val="32"/>
          <w:u w:val="single"/>
        </w:rPr>
        <w:t>Communiqué de Presse Du 3 janvier 2013</w:t>
      </w:r>
    </w:p>
    <w:p w:rsidR="0071449E" w:rsidRPr="00987788" w:rsidRDefault="0071449E" w:rsidP="00987788">
      <w:pPr>
        <w:jc w:val="center"/>
        <w:rPr>
          <w:rFonts w:ascii="Calibri" w:hAnsi="Calibri"/>
          <w:b/>
          <w:u w:val="single"/>
        </w:rPr>
      </w:pPr>
    </w:p>
    <w:p w:rsidR="0071449E" w:rsidRDefault="0071449E" w:rsidP="00987788">
      <w:pPr>
        <w:jc w:val="center"/>
        <w:rPr>
          <w:rFonts w:ascii="Calibri" w:hAnsi="Calibri"/>
          <w:b/>
          <w:i/>
          <w:sz w:val="36"/>
          <w:szCs w:val="36"/>
        </w:rPr>
      </w:pPr>
    </w:p>
    <w:p w:rsidR="0071449E" w:rsidRPr="00966A81" w:rsidRDefault="0071449E" w:rsidP="00966A81">
      <w:pPr>
        <w:ind w:left="-900" w:right="-828" w:firstLine="360"/>
        <w:jc w:val="center"/>
        <w:rPr>
          <w:rFonts w:ascii="Calibri" w:hAnsi="Calibri"/>
          <w:b/>
          <w:i/>
          <w:sz w:val="32"/>
          <w:szCs w:val="32"/>
        </w:rPr>
      </w:pPr>
      <w:r w:rsidRPr="00966A81">
        <w:rPr>
          <w:rFonts w:ascii="Calibri" w:hAnsi="Calibri"/>
          <w:b/>
          <w:i/>
          <w:sz w:val="32"/>
          <w:szCs w:val="32"/>
        </w:rPr>
        <w:t>« Bilan et perspectives du dispositif des certificats d’économie</w:t>
      </w:r>
      <w:r w:rsidR="006C1722">
        <w:rPr>
          <w:rFonts w:ascii="Calibri" w:hAnsi="Calibri"/>
          <w:b/>
          <w:i/>
          <w:sz w:val="32"/>
          <w:szCs w:val="32"/>
        </w:rPr>
        <w:t>s</w:t>
      </w:r>
      <w:r w:rsidRPr="00966A81">
        <w:rPr>
          <w:rFonts w:ascii="Calibri" w:hAnsi="Calibri"/>
          <w:b/>
          <w:i/>
          <w:sz w:val="32"/>
          <w:szCs w:val="32"/>
        </w:rPr>
        <w:t xml:space="preserve"> d’énergie CEE » </w:t>
      </w:r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</w:p>
    <w:p w:rsidR="0071449E" w:rsidRPr="00987788" w:rsidRDefault="0071449E" w:rsidP="005F6550">
      <w:pPr>
        <w:jc w:val="both"/>
        <w:rPr>
          <w:rFonts w:ascii="Calibri" w:hAnsi="Calibri"/>
          <w:sz w:val="20"/>
          <w:szCs w:val="20"/>
        </w:rPr>
      </w:pPr>
    </w:p>
    <w:p w:rsidR="0071449E" w:rsidRPr="001B1DD2" w:rsidRDefault="0071449E" w:rsidP="005F6550">
      <w:pPr>
        <w:jc w:val="both"/>
        <w:rPr>
          <w:rFonts w:ascii="Calibri" w:hAnsi="Calibri"/>
          <w:sz w:val="22"/>
          <w:szCs w:val="22"/>
        </w:rPr>
      </w:pPr>
      <w:r w:rsidRPr="001B1DD2">
        <w:rPr>
          <w:rFonts w:ascii="Calibri" w:hAnsi="Calibri"/>
          <w:sz w:val="22"/>
          <w:szCs w:val="22"/>
        </w:rPr>
        <w:t xml:space="preserve">Conférence thématique co-organisée le 21 décembre 2012 </w:t>
      </w:r>
      <w:r>
        <w:rPr>
          <w:rFonts w:ascii="Calibri" w:hAnsi="Calibri"/>
          <w:sz w:val="22"/>
          <w:szCs w:val="22"/>
        </w:rPr>
        <w:t>à Paris</w:t>
      </w:r>
      <w:r w:rsidRPr="001B1DD2">
        <w:rPr>
          <w:rFonts w:ascii="Calibri" w:hAnsi="Calibri"/>
          <w:sz w:val="22"/>
          <w:szCs w:val="22"/>
        </w:rPr>
        <w:t xml:space="preserve"> par </w:t>
      </w:r>
      <w:r w:rsidR="006C1722">
        <w:rPr>
          <w:rFonts w:ascii="Calibri" w:hAnsi="Calibri"/>
          <w:sz w:val="22"/>
          <w:szCs w:val="22"/>
        </w:rPr>
        <w:t>les structures régionales Ile-</w:t>
      </w:r>
      <w:r>
        <w:rPr>
          <w:rFonts w:ascii="Calibri" w:hAnsi="Calibri"/>
          <w:sz w:val="22"/>
          <w:szCs w:val="22"/>
        </w:rPr>
        <w:t>de</w:t>
      </w:r>
      <w:r w:rsidR="006C1722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France des </w:t>
      </w:r>
      <w:r w:rsidRPr="001B1DD2">
        <w:rPr>
          <w:rFonts w:ascii="Calibri" w:hAnsi="Calibri"/>
          <w:sz w:val="22"/>
          <w:szCs w:val="22"/>
        </w:rPr>
        <w:t xml:space="preserve">associations : </w:t>
      </w:r>
    </w:p>
    <w:p w:rsidR="0071449E" w:rsidRDefault="0071449E" w:rsidP="00B424E2">
      <w:pPr>
        <w:numPr>
          <w:ilvl w:val="0"/>
          <w:numId w:val="11"/>
        </w:numPr>
        <w:jc w:val="both"/>
        <w:rPr>
          <w:rFonts w:ascii="Calibri" w:hAnsi="Calibri"/>
          <w:b/>
          <w:sz w:val="22"/>
          <w:szCs w:val="22"/>
        </w:rPr>
      </w:pPr>
      <w:r w:rsidRPr="001B1DD2">
        <w:rPr>
          <w:rFonts w:ascii="Calibri" w:hAnsi="Calibri"/>
          <w:b/>
          <w:sz w:val="22"/>
          <w:szCs w:val="22"/>
        </w:rPr>
        <w:t xml:space="preserve">AICVF - Association des Ingénieurs en Climatique Ventilation et Froid </w:t>
      </w:r>
      <w:r w:rsidRPr="001B1DD2">
        <w:rPr>
          <w:rFonts w:ascii="Calibri" w:hAnsi="Calibri"/>
          <w:sz w:val="22"/>
          <w:szCs w:val="22"/>
        </w:rPr>
        <w:t>(association de climaticiens)</w:t>
      </w:r>
    </w:p>
    <w:p w:rsidR="0071449E" w:rsidRPr="00B424E2" w:rsidRDefault="0071449E" w:rsidP="00B424E2">
      <w:pPr>
        <w:numPr>
          <w:ilvl w:val="0"/>
          <w:numId w:val="1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ATEE Association Technique Energie Environnement </w:t>
      </w:r>
      <w:r w:rsidRPr="001B1DD2">
        <w:rPr>
          <w:rFonts w:ascii="Calibri" w:hAnsi="Calibri"/>
          <w:b/>
          <w:sz w:val="22"/>
          <w:szCs w:val="22"/>
        </w:rPr>
        <w:t xml:space="preserve"> </w:t>
      </w:r>
      <w:r w:rsidRPr="001B1DD2">
        <w:rPr>
          <w:rFonts w:ascii="Calibri" w:hAnsi="Calibri"/>
          <w:sz w:val="22"/>
          <w:szCs w:val="22"/>
        </w:rPr>
        <w:t xml:space="preserve">(rassemblant les acteurs concernés par les questions énergétiques et environnementales) </w:t>
      </w:r>
    </w:p>
    <w:p w:rsidR="0071449E" w:rsidRDefault="0071449E" w:rsidP="0098778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1B1DD2">
        <w:rPr>
          <w:rFonts w:ascii="Calibri" w:hAnsi="Calibri"/>
          <w:sz w:val="22"/>
          <w:szCs w:val="22"/>
        </w:rPr>
        <w:t xml:space="preserve">résidées </w:t>
      </w:r>
      <w:r>
        <w:rPr>
          <w:rFonts w:ascii="Calibri" w:hAnsi="Calibri"/>
          <w:sz w:val="22"/>
          <w:szCs w:val="22"/>
        </w:rPr>
        <w:t xml:space="preserve">l’une et l’autre respectivement </w:t>
      </w:r>
      <w:r w:rsidRPr="001B1DD2">
        <w:rPr>
          <w:rFonts w:ascii="Calibri" w:hAnsi="Calibri"/>
          <w:sz w:val="22"/>
          <w:szCs w:val="22"/>
        </w:rPr>
        <w:t xml:space="preserve">par </w:t>
      </w:r>
      <w:r w:rsidRPr="000561C8">
        <w:rPr>
          <w:rFonts w:ascii="Calibri" w:hAnsi="Calibri"/>
          <w:b/>
          <w:sz w:val="22"/>
          <w:szCs w:val="22"/>
        </w:rPr>
        <w:t xml:space="preserve">Jean-Pascal CHIRAT et Guy </w:t>
      </w:r>
      <w:r w:rsidR="0087009A" w:rsidRPr="000561C8">
        <w:rPr>
          <w:rFonts w:ascii="Calibri" w:hAnsi="Calibri"/>
          <w:b/>
          <w:sz w:val="22"/>
          <w:szCs w:val="22"/>
        </w:rPr>
        <w:t>FORSTER</w:t>
      </w:r>
      <w:r w:rsidR="0087009A" w:rsidRPr="001B1DD2">
        <w:rPr>
          <w:rFonts w:ascii="Calibri" w:hAnsi="Calibri"/>
          <w:sz w:val="22"/>
          <w:szCs w:val="22"/>
        </w:rPr>
        <w:t>.</w:t>
      </w:r>
    </w:p>
    <w:p w:rsidR="008338CD" w:rsidRPr="00B576B6" w:rsidRDefault="008338CD" w:rsidP="00987788">
      <w:pPr>
        <w:jc w:val="both"/>
        <w:rPr>
          <w:rFonts w:ascii="Calibri" w:hAnsi="Calibri"/>
          <w:sz w:val="22"/>
          <w:szCs w:val="22"/>
        </w:rPr>
      </w:pPr>
    </w:p>
    <w:p w:rsidR="0071449E" w:rsidRPr="00987788" w:rsidRDefault="0071449E" w:rsidP="00987788">
      <w:pPr>
        <w:jc w:val="both"/>
        <w:rPr>
          <w:rFonts w:ascii="Calibri" w:hAnsi="Calibri"/>
          <w:sz w:val="20"/>
          <w:szCs w:val="20"/>
        </w:rPr>
      </w:pPr>
    </w:p>
    <w:p w:rsidR="0071449E" w:rsidRPr="00975828" w:rsidRDefault="0071449E" w:rsidP="00C9758A">
      <w:pPr>
        <w:pStyle w:val="Paragraphedeliste"/>
        <w:numPr>
          <w:ilvl w:val="0"/>
          <w:numId w:val="9"/>
        </w:numPr>
        <w:ind w:left="284"/>
        <w:rPr>
          <w:rFonts w:ascii="Calibri" w:hAnsi="Calibri"/>
          <w:b/>
          <w:color w:val="0070C0"/>
          <w:sz w:val="32"/>
          <w:szCs w:val="32"/>
          <w:u w:val="single"/>
        </w:rPr>
      </w:pPr>
      <w:r w:rsidRPr="00975828">
        <w:rPr>
          <w:rFonts w:ascii="Calibri" w:hAnsi="Calibri"/>
          <w:b/>
          <w:color w:val="0070C0"/>
          <w:sz w:val="32"/>
          <w:szCs w:val="32"/>
          <w:u w:val="single"/>
        </w:rPr>
        <w:t>A l’aube de la troisièm</w:t>
      </w:r>
      <w:r w:rsidR="008338CD">
        <w:rPr>
          <w:rFonts w:ascii="Calibri" w:hAnsi="Calibri"/>
          <w:b/>
          <w:color w:val="0070C0"/>
          <w:sz w:val="32"/>
          <w:szCs w:val="32"/>
          <w:u w:val="single"/>
        </w:rPr>
        <w:t>e période du dispositif des CEE</w:t>
      </w:r>
    </w:p>
    <w:p w:rsidR="0071449E" w:rsidRDefault="0071449E" w:rsidP="004E6896">
      <w:pPr>
        <w:rPr>
          <w:rFonts w:ascii="Calibri" w:hAnsi="Calibri"/>
          <w:sz w:val="20"/>
          <w:szCs w:val="20"/>
        </w:rPr>
      </w:pPr>
    </w:p>
    <w:p w:rsidR="0071449E" w:rsidRDefault="0071449E" w:rsidP="006C1722">
      <w:p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 xml:space="preserve">A l’issue des six premières années de développement du dispositif des </w:t>
      </w:r>
      <w:r>
        <w:rPr>
          <w:rFonts w:ascii="Calibri" w:hAnsi="Calibri"/>
          <w:sz w:val="20"/>
          <w:szCs w:val="20"/>
        </w:rPr>
        <w:t>certificats d’économie</w:t>
      </w:r>
      <w:r w:rsidR="006C1722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d’énergie </w:t>
      </w:r>
      <w:r w:rsidRPr="00987788">
        <w:rPr>
          <w:rFonts w:ascii="Calibri" w:hAnsi="Calibri"/>
          <w:sz w:val="20"/>
          <w:szCs w:val="20"/>
        </w:rPr>
        <w:t xml:space="preserve">marquées par deux périodes distinctes </w:t>
      </w:r>
      <w:r>
        <w:rPr>
          <w:rFonts w:ascii="Calibri" w:hAnsi="Calibri"/>
          <w:sz w:val="20"/>
          <w:szCs w:val="20"/>
        </w:rPr>
        <w:t xml:space="preserve">en terme d’obligations ; </w:t>
      </w:r>
      <w:r w:rsidRPr="006B1762">
        <w:rPr>
          <w:rFonts w:ascii="Calibri" w:hAnsi="Calibri"/>
          <w:b/>
          <w:sz w:val="20"/>
          <w:szCs w:val="20"/>
        </w:rPr>
        <w:t xml:space="preserve">54 TWh </w:t>
      </w:r>
      <w:r w:rsidRPr="00966A81">
        <w:rPr>
          <w:rFonts w:ascii="Calibri" w:hAnsi="Calibri"/>
          <w:sz w:val="20"/>
          <w:szCs w:val="20"/>
        </w:rPr>
        <w:t>cumac*</w:t>
      </w:r>
      <w:r w:rsidRPr="006B1762">
        <w:rPr>
          <w:rFonts w:ascii="Calibri" w:hAnsi="Calibri"/>
          <w:b/>
          <w:sz w:val="20"/>
          <w:szCs w:val="20"/>
        </w:rPr>
        <w:t xml:space="preserve"> </w:t>
      </w:r>
      <w:r w:rsidRPr="00966A81">
        <w:rPr>
          <w:rFonts w:ascii="Calibri" w:hAnsi="Calibri"/>
          <w:sz w:val="20"/>
          <w:szCs w:val="20"/>
        </w:rPr>
        <w:t>d’une part de</w:t>
      </w:r>
      <w:r w:rsidRPr="006B1762">
        <w:rPr>
          <w:rFonts w:ascii="Calibri" w:hAnsi="Calibri"/>
          <w:b/>
          <w:sz w:val="20"/>
          <w:szCs w:val="20"/>
        </w:rPr>
        <w:t xml:space="preserve"> 2006 à 2009</w:t>
      </w:r>
      <w:r>
        <w:rPr>
          <w:rFonts w:ascii="Calibri" w:hAnsi="Calibri"/>
          <w:sz w:val="20"/>
          <w:szCs w:val="20"/>
        </w:rPr>
        <w:t xml:space="preserve"> puis  </w:t>
      </w:r>
      <w:r w:rsidRPr="00966A81">
        <w:rPr>
          <w:rFonts w:ascii="Calibri" w:hAnsi="Calibri"/>
          <w:b/>
          <w:sz w:val="20"/>
          <w:szCs w:val="20"/>
        </w:rPr>
        <w:t>345 TWh</w:t>
      </w:r>
      <w:r w:rsidRPr="00C73FF4">
        <w:rPr>
          <w:rFonts w:ascii="Calibri" w:hAnsi="Calibri"/>
          <w:sz w:val="20"/>
          <w:szCs w:val="20"/>
        </w:rPr>
        <w:t xml:space="preserve"> cumac</w:t>
      </w:r>
      <w:r w:rsidRPr="006B1762">
        <w:rPr>
          <w:rFonts w:ascii="Calibri" w:hAnsi="Calibri"/>
          <w:b/>
          <w:sz w:val="20"/>
          <w:szCs w:val="20"/>
        </w:rPr>
        <w:t xml:space="preserve"> </w:t>
      </w:r>
      <w:r w:rsidRPr="00966A81">
        <w:rPr>
          <w:rFonts w:ascii="Calibri" w:hAnsi="Calibri"/>
          <w:sz w:val="20"/>
          <w:szCs w:val="20"/>
        </w:rPr>
        <w:t>d’autre part de</w:t>
      </w:r>
      <w:r w:rsidRPr="006B1762">
        <w:rPr>
          <w:rFonts w:ascii="Calibri" w:hAnsi="Calibri"/>
          <w:b/>
          <w:sz w:val="20"/>
          <w:szCs w:val="20"/>
        </w:rPr>
        <w:t xml:space="preserve"> 2010 à 2013</w:t>
      </w:r>
      <w:r>
        <w:rPr>
          <w:rFonts w:ascii="Calibri" w:hAnsi="Calibri"/>
          <w:sz w:val="20"/>
          <w:szCs w:val="20"/>
        </w:rPr>
        <w:t xml:space="preserve">  </w:t>
      </w:r>
      <w:r w:rsidRPr="00987788">
        <w:rPr>
          <w:rFonts w:ascii="Calibri" w:hAnsi="Calibri"/>
          <w:sz w:val="20"/>
          <w:szCs w:val="20"/>
        </w:rPr>
        <w:t xml:space="preserve">et dans la perspective d’un troisième cycle triennal </w:t>
      </w:r>
      <w:r>
        <w:rPr>
          <w:rFonts w:ascii="Calibri" w:hAnsi="Calibri"/>
          <w:sz w:val="20"/>
          <w:szCs w:val="20"/>
        </w:rPr>
        <w:t xml:space="preserve">devant </w:t>
      </w:r>
      <w:r w:rsidRPr="00C73FF4">
        <w:rPr>
          <w:rFonts w:ascii="Calibri" w:hAnsi="Calibri"/>
          <w:sz w:val="20"/>
          <w:szCs w:val="20"/>
        </w:rPr>
        <w:t xml:space="preserve">démarrer </w:t>
      </w:r>
      <w:r>
        <w:rPr>
          <w:rFonts w:ascii="Calibri" w:hAnsi="Calibri"/>
          <w:sz w:val="20"/>
          <w:szCs w:val="20"/>
        </w:rPr>
        <w:t xml:space="preserve">début 2014, dont les objectifs </w:t>
      </w:r>
      <w:r w:rsidRPr="00987788">
        <w:rPr>
          <w:rFonts w:ascii="Calibri" w:hAnsi="Calibri"/>
          <w:sz w:val="20"/>
          <w:szCs w:val="20"/>
        </w:rPr>
        <w:t xml:space="preserve">devraient se préciser </w:t>
      </w:r>
      <w:r>
        <w:rPr>
          <w:rFonts w:ascii="Calibri" w:hAnsi="Calibri"/>
          <w:sz w:val="20"/>
          <w:szCs w:val="20"/>
        </w:rPr>
        <w:t>prochainement</w:t>
      </w:r>
      <w:r w:rsidRPr="00987788">
        <w:rPr>
          <w:rFonts w:ascii="Calibri" w:hAnsi="Calibri"/>
          <w:sz w:val="20"/>
          <w:szCs w:val="20"/>
        </w:rPr>
        <w:t>, le sujet fait fortement débat entre les principaux acteurs du marché de l’efficacité énergétique</w:t>
      </w:r>
      <w:r>
        <w:rPr>
          <w:rFonts w:ascii="Calibri" w:hAnsi="Calibri"/>
          <w:sz w:val="20"/>
          <w:szCs w:val="20"/>
        </w:rPr>
        <w:t>, les obligés</w:t>
      </w:r>
      <w:r w:rsidRPr="00987788">
        <w:rPr>
          <w:rFonts w:ascii="Calibri" w:hAnsi="Calibri"/>
          <w:sz w:val="20"/>
          <w:szCs w:val="20"/>
        </w:rPr>
        <w:t xml:space="preserve"> et les pouvoirs publics.</w:t>
      </w:r>
    </w:p>
    <w:p w:rsidR="0071449E" w:rsidRDefault="0071449E" w:rsidP="004E6896">
      <w:pPr>
        <w:rPr>
          <w:rFonts w:ascii="Calibri" w:hAnsi="Calibri"/>
          <w:sz w:val="20"/>
          <w:szCs w:val="20"/>
        </w:rPr>
      </w:pPr>
    </w:p>
    <w:p w:rsidR="0071449E" w:rsidRDefault="0071449E" w:rsidP="00D00FD5">
      <w:pPr>
        <w:rPr>
          <w:rFonts w:ascii="Calibri" w:hAnsi="Calibri"/>
          <w:b/>
          <w:sz w:val="20"/>
          <w:szCs w:val="20"/>
        </w:rPr>
      </w:pPr>
      <w:r w:rsidRPr="00A65CB7">
        <w:rPr>
          <w:rFonts w:ascii="Calibri" w:hAnsi="Calibri"/>
          <w:sz w:val="20"/>
          <w:szCs w:val="20"/>
        </w:rPr>
        <w:t xml:space="preserve">Selon </w:t>
      </w:r>
      <w:r w:rsidRPr="00D00FD5">
        <w:rPr>
          <w:rFonts w:ascii="Calibri" w:hAnsi="Calibri"/>
          <w:b/>
          <w:sz w:val="20"/>
          <w:szCs w:val="20"/>
        </w:rPr>
        <w:t>Xavier ROMON</w:t>
      </w:r>
      <w:r>
        <w:rPr>
          <w:rFonts w:ascii="Calibri" w:hAnsi="Calibri"/>
          <w:b/>
          <w:sz w:val="20"/>
          <w:szCs w:val="20"/>
        </w:rPr>
        <w:t>,</w:t>
      </w:r>
      <w:r w:rsidRPr="00D00FD5">
        <w:rPr>
          <w:rFonts w:ascii="Calibri" w:hAnsi="Calibri"/>
          <w:b/>
          <w:sz w:val="20"/>
          <w:szCs w:val="20"/>
        </w:rPr>
        <w:t xml:space="preserve"> Délégué général Club C2E </w:t>
      </w:r>
      <w:r>
        <w:rPr>
          <w:rFonts w:ascii="Calibri" w:hAnsi="Calibri"/>
          <w:b/>
          <w:sz w:val="20"/>
          <w:szCs w:val="20"/>
        </w:rPr>
        <w:t>au sein de l’</w:t>
      </w:r>
      <w:r w:rsidRPr="00D00FD5">
        <w:rPr>
          <w:rFonts w:ascii="Calibri" w:hAnsi="Calibri"/>
          <w:b/>
          <w:sz w:val="20"/>
          <w:szCs w:val="20"/>
        </w:rPr>
        <w:t>ATEE</w:t>
      </w:r>
      <w:r>
        <w:rPr>
          <w:rFonts w:ascii="Calibri" w:hAnsi="Calibri"/>
          <w:b/>
          <w:sz w:val="20"/>
          <w:szCs w:val="20"/>
        </w:rPr>
        <w:t xml:space="preserve">, </w:t>
      </w:r>
      <w:r w:rsidRPr="00A65CB7">
        <w:rPr>
          <w:rFonts w:ascii="Calibri" w:hAnsi="Calibri"/>
          <w:sz w:val="20"/>
          <w:szCs w:val="20"/>
        </w:rPr>
        <w:t>trois n</w:t>
      </w:r>
      <w:r>
        <w:rPr>
          <w:rFonts w:ascii="Calibri" w:hAnsi="Calibri"/>
          <w:sz w:val="20"/>
          <w:szCs w:val="20"/>
        </w:rPr>
        <w:t>iveaux d’évaluation des gisements potentiels d’économies d’énergies pourraient se traduire en objectifs pour la troisième période :</w:t>
      </w:r>
    </w:p>
    <w:p w:rsidR="0071449E" w:rsidRPr="00D00FD5" w:rsidRDefault="0071449E" w:rsidP="00D00FD5">
      <w:pPr>
        <w:rPr>
          <w:rFonts w:ascii="Calibri" w:hAnsi="Calibri"/>
          <w:b/>
          <w:sz w:val="20"/>
          <w:szCs w:val="20"/>
        </w:rPr>
      </w:pPr>
    </w:p>
    <w:p w:rsidR="0071449E" w:rsidRPr="004E6896" w:rsidRDefault="0071449E" w:rsidP="00D00FD5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Selon </w:t>
      </w:r>
      <w:r w:rsidRPr="004E6896">
        <w:rPr>
          <w:rFonts w:ascii="Calibri" w:hAnsi="Calibri"/>
          <w:sz w:val="20"/>
          <w:szCs w:val="20"/>
        </w:rPr>
        <w:t xml:space="preserve">les obligés </w:t>
      </w:r>
      <w:r>
        <w:rPr>
          <w:rFonts w:ascii="Calibri" w:hAnsi="Calibri"/>
          <w:sz w:val="20"/>
          <w:szCs w:val="20"/>
        </w:rPr>
        <w:t xml:space="preserve">eux-mêmes </w:t>
      </w:r>
      <w:r w:rsidRPr="004E6896">
        <w:rPr>
          <w:rFonts w:ascii="Calibri" w:hAnsi="Calibri"/>
          <w:sz w:val="20"/>
          <w:szCs w:val="20"/>
        </w:rPr>
        <w:t>de 255 à 345 TWh cumac</w:t>
      </w:r>
    </w:p>
    <w:p w:rsidR="0071449E" w:rsidRPr="004E6896" w:rsidRDefault="0071449E" w:rsidP="004E6896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Selon</w:t>
      </w:r>
      <w:r w:rsidRPr="004E689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l’interprétation de la d</w:t>
      </w:r>
      <w:r w:rsidRPr="004E6896">
        <w:rPr>
          <w:rFonts w:ascii="Calibri" w:hAnsi="Calibri"/>
          <w:sz w:val="20"/>
          <w:szCs w:val="20"/>
        </w:rPr>
        <w:t>irective européenne</w:t>
      </w:r>
      <w:r>
        <w:rPr>
          <w:rFonts w:ascii="Calibri" w:hAnsi="Calibri"/>
          <w:sz w:val="20"/>
          <w:szCs w:val="20"/>
        </w:rPr>
        <w:t>*</w:t>
      </w:r>
      <w:r w:rsidRPr="004E6896">
        <w:rPr>
          <w:rFonts w:ascii="Calibri" w:hAnsi="Calibri"/>
          <w:sz w:val="20"/>
          <w:szCs w:val="20"/>
        </w:rPr>
        <w:t xml:space="preserve"> de 500 à 585 TWh cumac</w:t>
      </w:r>
    </w:p>
    <w:p w:rsidR="0071449E" w:rsidRDefault="0071449E" w:rsidP="004E6896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Selon la </w:t>
      </w:r>
      <w:r w:rsidRPr="004E6896">
        <w:rPr>
          <w:rFonts w:ascii="Calibri" w:hAnsi="Calibri"/>
          <w:sz w:val="20"/>
          <w:szCs w:val="20"/>
        </w:rPr>
        <w:t>DGEC/ADEME de 860 à 900 TWh cumac</w:t>
      </w:r>
    </w:p>
    <w:p w:rsidR="0071449E" w:rsidRPr="004E6896" w:rsidRDefault="0071449E" w:rsidP="00CE2B0B">
      <w:pPr>
        <w:ind w:left="360"/>
        <w:jc w:val="both"/>
        <w:rPr>
          <w:rFonts w:ascii="Calibri" w:hAnsi="Calibri"/>
          <w:sz w:val="20"/>
          <w:szCs w:val="20"/>
        </w:rPr>
      </w:pPr>
    </w:p>
    <w:p w:rsidR="0071449E" w:rsidRPr="00966A81" w:rsidRDefault="0071449E" w:rsidP="00987788">
      <w:pPr>
        <w:jc w:val="both"/>
        <w:rPr>
          <w:rFonts w:ascii="Calibri" w:hAnsi="Calibri"/>
          <w:i/>
          <w:sz w:val="16"/>
          <w:szCs w:val="16"/>
        </w:rPr>
      </w:pPr>
      <w:r w:rsidRPr="00966A81">
        <w:rPr>
          <w:rFonts w:ascii="Calibri" w:hAnsi="Calibri"/>
          <w:i/>
          <w:sz w:val="16"/>
          <w:szCs w:val="16"/>
        </w:rPr>
        <w:t xml:space="preserve">*cumac : énergie </w:t>
      </w:r>
      <w:r w:rsidRPr="00966A81">
        <w:rPr>
          <w:rFonts w:ascii="Calibri" w:hAnsi="Calibri"/>
          <w:b/>
          <w:bCs/>
          <w:i/>
          <w:sz w:val="16"/>
          <w:szCs w:val="16"/>
        </w:rPr>
        <w:t>cum</w:t>
      </w:r>
      <w:r w:rsidRPr="00966A81">
        <w:rPr>
          <w:rFonts w:ascii="Calibri" w:hAnsi="Calibri"/>
          <w:i/>
          <w:sz w:val="16"/>
          <w:szCs w:val="16"/>
        </w:rPr>
        <w:t>ulée au taux d'</w:t>
      </w:r>
      <w:r w:rsidRPr="00966A81">
        <w:rPr>
          <w:rFonts w:ascii="Calibri" w:hAnsi="Calibri"/>
          <w:b/>
          <w:bCs/>
          <w:i/>
          <w:sz w:val="16"/>
          <w:szCs w:val="16"/>
        </w:rPr>
        <w:t>ac</w:t>
      </w:r>
      <w:r w:rsidRPr="00966A81">
        <w:rPr>
          <w:rFonts w:ascii="Calibri" w:hAnsi="Calibri"/>
          <w:i/>
          <w:sz w:val="16"/>
          <w:szCs w:val="16"/>
        </w:rPr>
        <w:t>tualisation de 4% sur la durée prise en compte</w:t>
      </w:r>
    </w:p>
    <w:p w:rsidR="0071449E" w:rsidRPr="00CE2B0B" w:rsidRDefault="0071449E" w:rsidP="00987788">
      <w:pPr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* D</w:t>
      </w:r>
      <w:r w:rsidRPr="00CE2B0B">
        <w:rPr>
          <w:rFonts w:ascii="Calibri" w:hAnsi="Calibri"/>
          <w:i/>
          <w:sz w:val="16"/>
          <w:szCs w:val="16"/>
        </w:rPr>
        <w:t xml:space="preserve">irective sur l'efficacité énergétique </w:t>
      </w:r>
      <w:r>
        <w:rPr>
          <w:rFonts w:ascii="Calibri" w:hAnsi="Calibri"/>
          <w:i/>
          <w:sz w:val="16"/>
          <w:szCs w:val="16"/>
        </w:rPr>
        <w:t xml:space="preserve">adoptée par le Parlement européen </w:t>
      </w:r>
      <w:r w:rsidRPr="00CE2B0B">
        <w:rPr>
          <w:rFonts w:ascii="Calibri" w:hAnsi="Calibri"/>
          <w:i/>
          <w:sz w:val="16"/>
          <w:szCs w:val="16"/>
        </w:rPr>
        <w:t xml:space="preserve">en séance plénière la </w:t>
      </w:r>
      <w:r>
        <w:rPr>
          <w:rFonts w:ascii="Calibri" w:hAnsi="Calibri"/>
          <w:i/>
          <w:sz w:val="16"/>
          <w:szCs w:val="16"/>
        </w:rPr>
        <w:t>m</w:t>
      </w:r>
      <w:r w:rsidRPr="00CE2B0B">
        <w:rPr>
          <w:rFonts w:ascii="Calibri" w:hAnsi="Calibri"/>
          <w:i/>
          <w:sz w:val="16"/>
          <w:szCs w:val="16"/>
        </w:rPr>
        <w:t>ardi 11 septembre</w:t>
      </w:r>
      <w:r>
        <w:rPr>
          <w:rFonts w:ascii="Calibri" w:hAnsi="Calibri"/>
          <w:i/>
          <w:sz w:val="16"/>
          <w:szCs w:val="16"/>
        </w:rPr>
        <w:t>2012.</w:t>
      </w:r>
    </w:p>
    <w:p w:rsidR="0071449E" w:rsidRDefault="0071449E" w:rsidP="00925CCB">
      <w:pPr>
        <w:ind w:right="-288"/>
        <w:rPr>
          <w:rFonts w:ascii="Calibri" w:hAnsi="Calibri"/>
          <w:sz w:val="20"/>
          <w:szCs w:val="20"/>
        </w:rPr>
      </w:pPr>
    </w:p>
    <w:p w:rsidR="0071449E" w:rsidRPr="00925CCB" w:rsidRDefault="0071449E" w:rsidP="006C1722">
      <w:pPr>
        <w:ind w:right="-288"/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 xml:space="preserve">Dans ce contexte et pour répondre </w:t>
      </w:r>
      <w:r>
        <w:rPr>
          <w:rFonts w:ascii="Calibri" w:hAnsi="Calibri"/>
          <w:sz w:val="20"/>
          <w:szCs w:val="20"/>
        </w:rPr>
        <w:t xml:space="preserve">plus précisément </w:t>
      </w:r>
      <w:r w:rsidRPr="00987788">
        <w:rPr>
          <w:rFonts w:ascii="Calibri" w:hAnsi="Calibri"/>
          <w:sz w:val="20"/>
          <w:szCs w:val="20"/>
        </w:rPr>
        <w:t>aux attentes d</w:t>
      </w:r>
      <w:r>
        <w:rPr>
          <w:rFonts w:ascii="Calibri" w:hAnsi="Calibri"/>
          <w:sz w:val="20"/>
          <w:szCs w:val="20"/>
        </w:rPr>
        <w:t xml:space="preserve">’informations exprimées par leurs </w:t>
      </w:r>
      <w:r w:rsidR="006C1722">
        <w:rPr>
          <w:rFonts w:ascii="Calibri" w:hAnsi="Calibri"/>
          <w:sz w:val="20"/>
          <w:szCs w:val="20"/>
        </w:rPr>
        <w:t>membres adhérents en région Ile-de-</w:t>
      </w:r>
      <w:r>
        <w:rPr>
          <w:rFonts w:ascii="Calibri" w:hAnsi="Calibri"/>
          <w:sz w:val="20"/>
          <w:szCs w:val="20"/>
        </w:rPr>
        <w:t>France</w:t>
      </w:r>
      <w:r w:rsidRPr="00987788">
        <w:rPr>
          <w:rFonts w:ascii="Calibri" w:hAnsi="Calibri"/>
          <w:sz w:val="20"/>
          <w:szCs w:val="20"/>
        </w:rPr>
        <w:t xml:space="preserve">, il est apparu judicieux aux </w:t>
      </w:r>
      <w:r>
        <w:rPr>
          <w:rFonts w:ascii="Calibri" w:hAnsi="Calibri"/>
          <w:sz w:val="20"/>
          <w:szCs w:val="20"/>
        </w:rPr>
        <w:t>associations AICVF et ATEE</w:t>
      </w:r>
      <w:r w:rsidRPr="00925CCB">
        <w:rPr>
          <w:rFonts w:ascii="Calibri" w:hAnsi="Calibri"/>
          <w:b/>
          <w:sz w:val="20"/>
          <w:szCs w:val="20"/>
        </w:rPr>
        <w:t xml:space="preserve"> </w:t>
      </w:r>
      <w:r w:rsidRPr="00987788">
        <w:rPr>
          <w:rFonts w:ascii="Calibri" w:hAnsi="Calibri"/>
          <w:sz w:val="20"/>
          <w:szCs w:val="20"/>
        </w:rPr>
        <w:t xml:space="preserve">d’organiser une conférence thématique sur le sujet, faisant intervenir les responsables des </w:t>
      </w:r>
      <w:r>
        <w:rPr>
          <w:rFonts w:ascii="Calibri" w:hAnsi="Calibri"/>
          <w:sz w:val="20"/>
          <w:szCs w:val="20"/>
        </w:rPr>
        <w:t>structures</w:t>
      </w:r>
      <w:r w:rsidRPr="00987788">
        <w:rPr>
          <w:rFonts w:ascii="Calibri" w:hAnsi="Calibri"/>
          <w:sz w:val="20"/>
          <w:szCs w:val="20"/>
        </w:rPr>
        <w:t xml:space="preserve"> concernées :</w:t>
      </w:r>
    </w:p>
    <w:p w:rsidR="0071449E" w:rsidRPr="00987788" w:rsidRDefault="0071449E" w:rsidP="00987788">
      <w:pPr>
        <w:jc w:val="both"/>
        <w:rPr>
          <w:rFonts w:ascii="Calibri" w:hAnsi="Calibri"/>
          <w:sz w:val="20"/>
          <w:szCs w:val="20"/>
        </w:rPr>
      </w:pPr>
    </w:p>
    <w:p w:rsidR="0071449E" w:rsidRPr="00987788" w:rsidRDefault="0071449E" w:rsidP="00987788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>L’ATEE dont le Club CEE est unanimement reconnu comme autorité compétente</w:t>
      </w:r>
    </w:p>
    <w:p w:rsidR="0071449E" w:rsidRPr="00D00FD5" w:rsidRDefault="0071449E" w:rsidP="00987788">
      <w:pPr>
        <w:numPr>
          <w:ilvl w:val="0"/>
          <w:numId w:val="4"/>
        </w:numPr>
        <w:jc w:val="both"/>
        <w:rPr>
          <w:rFonts w:ascii="Calibri" w:hAnsi="Calibri"/>
          <w:b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 xml:space="preserve">Les énergéticiens « Obligés » : </w:t>
      </w:r>
      <w:r w:rsidRPr="00D00FD5">
        <w:rPr>
          <w:rFonts w:ascii="Calibri" w:hAnsi="Calibri"/>
          <w:b/>
          <w:sz w:val="20"/>
          <w:szCs w:val="20"/>
        </w:rPr>
        <w:t>EDF</w:t>
      </w:r>
      <w:r>
        <w:rPr>
          <w:rFonts w:ascii="Calibri" w:hAnsi="Calibri"/>
          <w:b/>
          <w:sz w:val="20"/>
          <w:szCs w:val="20"/>
        </w:rPr>
        <w:t> :</w:t>
      </w:r>
      <w:r w:rsidRPr="00D00FD5">
        <w:rPr>
          <w:rFonts w:ascii="Calibri" w:hAnsi="Calibri"/>
          <w:b/>
          <w:sz w:val="20"/>
          <w:szCs w:val="20"/>
        </w:rPr>
        <w:t xml:space="preserve"> Elizabeth TATREAUX, GDF Suez</w:t>
      </w:r>
      <w:r>
        <w:rPr>
          <w:rFonts w:ascii="Calibri" w:hAnsi="Calibri"/>
          <w:b/>
          <w:sz w:val="20"/>
          <w:szCs w:val="20"/>
        </w:rPr>
        <w:t> :</w:t>
      </w:r>
      <w:r w:rsidR="006C1722">
        <w:rPr>
          <w:rFonts w:ascii="Calibri" w:hAnsi="Calibri"/>
          <w:b/>
          <w:sz w:val="20"/>
          <w:szCs w:val="20"/>
        </w:rPr>
        <w:t xml:space="preserve"> Patrice HENNIG, Total</w:t>
      </w:r>
      <w:r>
        <w:rPr>
          <w:rFonts w:ascii="Calibri" w:hAnsi="Calibri"/>
          <w:b/>
          <w:sz w:val="20"/>
          <w:szCs w:val="20"/>
        </w:rPr>
        <w:t> :</w:t>
      </w:r>
      <w:r w:rsidRPr="00D00FD5">
        <w:rPr>
          <w:rFonts w:ascii="Calibri" w:hAnsi="Calibri"/>
          <w:b/>
          <w:sz w:val="20"/>
          <w:szCs w:val="20"/>
        </w:rPr>
        <w:t xml:space="preserve"> Aristide BELLI, Auchan (Pétrovex)</w:t>
      </w:r>
      <w:r>
        <w:rPr>
          <w:rFonts w:ascii="Calibri" w:hAnsi="Calibri"/>
          <w:b/>
          <w:sz w:val="20"/>
          <w:szCs w:val="20"/>
        </w:rPr>
        <w:t xml:space="preserve"> : </w:t>
      </w:r>
      <w:r w:rsidRPr="00D00FD5">
        <w:rPr>
          <w:rFonts w:ascii="Calibri" w:hAnsi="Calibri"/>
          <w:b/>
          <w:sz w:val="20"/>
          <w:szCs w:val="20"/>
        </w:rPr>
        <w:t>Erick PARAYRE</w:t>
      </w:r>
    </w:p>
    <w:p w:rsidR="0071449E" w:rsidRPr="00987788" w:rsidRDefault="0071449E" w:rsidP="00987788">
      <w:pPr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 xml:space="preserve">Une structure collective : </w:t>
      </w:r>
      <w:r>
        <w:rPr>
          <w:rFonts w:ascii="Calibri" w:hAnsi="Calibri"/>
          <w:b/>
          <w:sz w:val="20"/>
          <w:szCs w:val="20"/>
        </w:rPr>
        <w:t xml:space="preserve">CERTINERGY : </w:t>
      </w:r>
      <w:r w:rsidRPr="00D00FD5">
        <w:rPr>
          <w:rFonts w:ascii="Calibri" w:hAnsi="Calibri"/>
          <w:b/>
          <w:sz w:val="20"/>
          <w:szCs w:val="20"/>
        </w:rPr>
        <w:t>Frédéric UTZMANN</w:t>
      </w:r>
    </w:p>
    <w:p w:rsidR="0071449E" w:rsidRPr="00D00FD5" w:rsidRDefault="0071449E" w:rsidP="00987788">
      <w:pPr>
        <w:numPr>
          <w:ilvl w:val="0"/>
          <w:numId w:val="4"/>
        </w:numPr>
        <w:jc w:val="both"/>
        <w:rPr>
          <w:rFonts w:ascii="Calibri" w:hAnsi="Calibri"/>
          <w:b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 xml:space="preserve">Deux Organisations professionnelles représentant les installateurs : </w:t>
      </w:r>
      <w:r w:rsidRPr="00D00FD5">
        <w:rPr>
          <w:rFonts w:ascii="Calibri" w:hAnsi="Calibri"/>
          <w:b/>
          <w:sz w:val="20"/>
          <w:szCs w:val="20"/>
        </w:rPr>
        <w:t>CAPEB</w:t>
      </w:r>
      <w:r>
        <w:rPr>
          <w:rFonts w:ascii="Calibri" w:hAnsi="Calibri"/>
          <w:b/>
          <w:sz w:val="20"/>
          <w:szCs w:val="20"/>
        </w:rPr>
        <w:t xml:space="preserve"> : </w:t>
      </w:r>
      <w:r w:rsidRPr="00D00FD5">
        <w:rPr>
          <w:rFonts w:ascii="Calibri" w:hAnsi="Calibri"/>
          <w:b/>
          <w:sz w:val="20"/>
          <w:szCs w:val="20"/>
        </w:rPr>
        <w:t>Jean-Marie CARTON et UECF</w:t>
      </w:r>
      <w:r>
        <w:rPr>
          <w:rFonts w:ascii="Calibri" w:hAnsi="Calibri"/>
          <w:b/>
          <w:sz w:val="20"/>
          <w:szCs w:val="20"/>
        </w:rPr>
        <w:t xml:space="preserve"> : </w:t>
      </w:r>
      <w:r w:rsidRPr="00D00FD5">
        <w:rPr>
          <w:rFonts w:ascii="Calibri" w:hAnsi="Calibri"/>
          <w:b/>
          <w:sz w:val="20"/>
          <w:szCs w:val="20"/>
        </w:rPr>
        <w:t>Jean-François MARTY</w:t>
      </w:r>
    </w:p>
    <w:p w:rsidR="0071449E" w:rsidRPr="00D00FD5" w:rsidRDefault="0071449E" w:rsidP="00987788">
      <w:pPr>
        <w:numPr>
          <w:ilvl w:val="0"/>
          <w:numId w:val="4"/>
        </w:numPr>
        <w:jc w:val="both"/>
        <w:rPr>
          <w:rFonts w:ascii="Calibri" w:hAnsi="Calibri"/>
          <w:b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 xml:space="preserve">Un réseau représentatif du négoce professionnel : </w:t>
      </w:r>
      <w:r w:rsidRPr="00D00FD5">
        <w:rPr>
          <w:rFonts w:ascii="Calibri" w:hAnsi="Calibri"/>
          <w:b/>
          <w:sz w:val="20"/>
          <w:szCs w:val="20"/>
        </w:rPr>
        <w:t>POINT P</w:t>
      </w:r>
      <w:r>
        <w:rPr>
          <w:rFonts w:ascii="Calibri" w:hAnsi="Calibri"/>
          <w:b/>
          <w:sz w:val="20"/>
          <w:szCs w:val="20"/>
        </w:rPr>
        <w:t> :</w:t>
      </w:r>
      <w:r w:rsidRPr="00D00FD5">
        <w:rPr>
          <w:rFonts w:ascii="Calibri" w:hAnsi="Calibri"/>
          <w:b/>
          <w:sz w:val="20"/>
          <w:szCs w:val="20"/>
        </w:rPr>
        <w:t xml:space="preserve"> Patrick VENZAL </w:t>
      </w:r>
    </w:p>
    <w:p w:rsidR="0071449E" w:rsidRPr="00987788" w:rsidRDefault="0071449E" w:rsidP="00987788">
      <w:pPr>
        <w:jc w:val="both"/>
        <w:rPr>
          <w:rFonts w:ascii="Calibri" w:hAnsi="Calibri"/>
          <w:sz w:val="20"/>
          <w:szCs w:val="20"/>
        </w:rPr>
      </w:pPr>
    </w:p>
    <w:p w:rsidR="0071449E" w:rsidRPr="00987788" w:rsidRDefault="0071449E" w:rsidP="00987788">
      <w:p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>Cette rencontre</w:t>
      </w:r>
      <w:r w:rsidR="006C1722">
        <w:rPr>
          <w:rFonts w:ascii="Calibri" w:hAnsi="Calibri"/>
          <w:sz w:val="20"/>
          <w:szCs w:val="20"/>
        </w:rPr>
        <w:t>,</w:t>
      </w:r>
      <w:r w:rsidRPr="0098778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ayant</w:t>
      </w:r>
      <w:r w:rsidRPr="00987788">
        <w:rPr>
          <w:rFonts w:ascii="Calibri" w:hAnsi="Calibri"/>
          <w:sz w:val="20"/>
          <w:szCs w:val="20"/>
        </w:rPr>
        <w:t xml:space="preserve"> permis de mobiliser plus de 150  professionnels</w:t>
      </w:r>
      <w:r w:rsidR="006C1722">
        <w:rPr>
          <w:rFonts w:ascii="Calibri" w:hAnsi="Calibri"/>
          <w:sz w:val="20"/>
          <w:szCs w:val="20"/>
        </w:rPr>
        <w:t>,</w:t>
      </w:r>
      <w:r w:rsidRPr="00987788">
        <w:rPr>
          <w:rFonts w:ascii="Calibri" w:hAnsi="Calibri"/>
          <w:sz w:val="20"/>
          <w:szCs w:val="20"/>
        </w:rPr>
        <w:t xml:space="preserve"> s’est tenue le 21 décembre en matinée dans l’amphithéâtre de la Tour Total quartier Michelet à La Défense.</w:t>
      </w:r>
    </w:p>
    <w:p w:rsidR="0071449E" w:rsidRPr="00987788" w:rsidRDefault="0071449E" w:rsidP="00987788">
      <w:pPr>
        <w:jc w:val="both"/>
        <w:rPr>
          <w:rFonts w:ascii="Calibri" w:hAnsi="Calibri"/>
          <w:sz w:val="20"/>
          <w:szCs w:val="20"/>
        </w:rPr>
      </w:pPr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 xml:space="preserve">Les protagonistes du débat réunis en table ronde </w:t>
      </w:r>
      <w:r>
        <w:rPr>
          <w:rFonts w:ascii="Calibri" w:hAnsi="Calibri"/>
          <w:sz w:val="20"/>
          <w:szCs w:val="20"/>
        </w:rPr>
        <w:t xml:space="preserve">animée par </w:t>
      </w:r>
      <w:r>
        <w:rPr>
          <w:rFonts w:ascii="Calibri" w:hAnsi="Calibri"/>
          <w:b/>
          <w:sz w:val="20"/>
          <w:szCs w:val="20"/>
        </w:rPr>
        <w:t xml:space="preserve">Philippe NUNES, </w:t>
      </w:r>
      <w:r w:rsidRPr="002424A9">
        <w:rPr>
          <w:rFonts w:ascii="Calibri" w:hAnsi="Calibri"/>
          <w:b/>
          <w:sz w:val="20"/>
          <w:szCs w:val="20"/>
        </w:rPr>
        <w:t>DG du portail d’information</w:t>
      </w:r>
      <w:r w:rsidRPr="002424A9">
        <w:rPr>
          <w:rFonts w:ascii="Calibri" w:hAnsi="Calibri"/>
          <w:sz w:val="20"/>
          <w:szCs w:val="20"/>
        </w:rPr>
        <w:t xml:space="preserve"> </w:t>
      </w:r>
      <w:r w:rsidRPr="002424A9">
        <w:rPr>
          <w:rFonts w:ascii="Calibri" w:hAnsi="Calibri"/>
          <w:b/>
          <w:sz w:val="20"/>
          <w:szCs w:val="20"/>
        </w:rPr>
        <w:t>XPAIR</w:t>
      </w:r>
      <w:r w:rsidR="006C1722">
        <w:rPr>
          <w:rFonts w:ascii="Calibri" w:hAnsi="Calibri"/>
          <w:b/>
          <w:sz w:val="20"/>
          <w:szCs w:val="20"/>
        </w:rPr>
        <w:t>,</w:t>
      </w:r>
      <w:r w:rsidRPr="002424A9">
        <w:rPr>
          <w:rFonts w:ascii="Calibri" w:hAnsi="Calibri"/>
          <w:b/>
          <w:sz w:val="20"/>
          <w:szCs w:val="20"/>
        </w:rPr>
        <w:t xml:space="preserve"> </w:t>
      </w:r>
      <w:r w:rsidRPr="00987788">
        <w:rPr>
          <w:rFonts w:ascii="Calibri" w:hAnsi="Calibri"/>
          <w:sz w:val="20"/>
          <w:szCs w:val="20"/>
        </w:rPr>
        <w:t>ont pu s’exprimer de façon ouverte et constructive mettant en évidence les spécificités et centre</w:t>
      </w:r>
      <w:r>
        <w:rPr>
          <w:rFonts w:ascii="Calibri" w:hAnsi="Calibri"/>
          <w:sz w:val="20"/>
          <w:szCs w:val="20"/>
        </w:rPr>
        <w:t>s</w:t>
      </w:r>
      <w:r w:rsidRPr="00987788">
        <w:rPr>
          <w:rFonts w:ascii="Calibri" w:hAnsi="Calibri"/>
          <w:sz w:val="20"/>
          <w:szCs w:val="20"/>
        </w:rPr>
        <w:t xml:space="preserve"> d’intérêt </w:t>
      </w:r>
      <w:r>
        <w:rPr>
          <w:rFonts w:ascii="Calibri" w:hAnsi="Calibri"/>
          <w:sz w:val="20"/>
          <w:szCs w:val="20"/>
        </w:rPr>
        <w:t>propres à</w:t>
      </w:r>
      <w:r w:rsidRPr="00987788">
        <w:rPr>
          <w:rFonts w:ascii="Calibri" w:hAnsi="Calibri"/>
          <w:sz w:val="20"/>
          <w:szCs w:val="20"/>
        </w:rPr>
        <w:t xml:space="preserve"> chacun mais aussi de nombreux points de convergences laissant ainsi entrevoir la possibilité de mutualiser l’effort collectif pour réaliser les objectifs qui sont par ailleurs </w:t>
      </w:r>
      <w:r>
        <w:rPr>
          <w:rFonts w:ascii="Calibri" w:hAnsi="Calibri"/>
          <w:sz w:val="20"/>
          <w:szCs w:val="20"/>
        </w:rPr>
        <w:t xml:space="preserve">ceux de </w:t>
      </w:r>
      <w:r w:rsidRPr="00987788">
        <w:rPr>
          <w:rFonts w:ascii="Calibri" w:hAnsi="Calibri"/>
          <w:sz w:val="20"/>
          <w:szCs w:val="20"/>
        </w:rPr>
        <w:t>notre pays</w:t>
      </w:r>
      <w:r>
        <w:rPr>
          <w:rFonts w:ascii="Calibri" w:hAnsi="Calibri"/>
          <w:sz w:val="20"/>
          <w:szCs w:val="20"/>
        </w:rPr>
        <w:t>,</w:t>
      </w:r>
      <w:r w:rsidRPr="00987788">
        <w:rPr>
          <w:rFonts w:ascii="Calibri" w:hAnsi="Calibri"/>
          <w:sz w:val="20"/>
          <w:szCs w:val="20"/>
        </w:rPr>
        <w:t xml:space="preserve"> la France au sein de la communauté européenne.</w:t>
      </w:r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</w:p>
    <w:p w:rsidR="0071449E" w:rsidRPr="00987788" w:rsidRDefault="0071449E" w:rsidP="00987788">
      <w:pPr>
        <w:jc w:val="both"/>
        <w:rPr>
          <w:rFonts w:ascii="Calibri" w:hAnsi="Calibri"/>
          <w:sz w:val="20"/>
          <w:szCs w:val="20"/>
        </w:rPr>
      </w:pPr>
    </w:p>
    <w:p w:rsidR="0071449E" w:rsidRPr="00975828" w:rsidRDefault="0071449E" w:rsidP="00C9758A">
      <w:pPr>
        <w:pStyle w:val="Paragraphedeliste"/>
        <w:numPr>
          <w:ilvl w:val="0"/>
          <w:numId w:val="9"/>
        </w:numPr>
        <w:ind w:left="284"/>
        <w:jc w:val="both"/>
        <w:rPr>
          <w:rFonts w:ascii="Calibri" w:hAnsi="Calibri"/>
          <w:b/>
          <w:color w:val="0070C0"/>
          <w:sz w:val="32"/>
          <w:szCs w:val="32"/>
          <w:u w:val="single"/>
        </w:rPr>
      </w:pPr>
      <w:r w:rsidRPr="00425786">
        <w:rPr>
          <w:rFonts w:ascii="Calibri" w:hAnsi="Calibri"/>
          <w:b/>
          <w:color w:val="0070C0"/>
          <w:sz w:val="36"/>
          <w:szCs w:val="36"/>
        </w:rPr>
        <w:t xml:space="preserve"> </w:t>
      </w:r>
      <w:r w:rsidRPr="00975828">
        <w:rPr>
          <w:rFonts w:ascii="Calibri" w:hAnsi="Calibri"/>
          <w:b/>
          <w:color w:val="0070C0"/>
          <w:sz w:val="32"/>
          <w:szCs w:val="32"/>
          <w:u w:val="single"/>
        </w:rPr>
        <w:t>Le bilan des CEE, et les attentes …</w:t>
      </w:r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</w:p>
    <w:p w:rsidR="0071449E" w:rsidRPr="00987788" w:rsidRDefault="0071449E" w:rsidP="00987788">
      <w:p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>Le bilan des deux premières périodes mais aussi les attentes exprimées pour</w:t>
      </w:r>
      <w:r w:rsidR="006C1722">
        <w:rPr>
          <w:rFonts w:ascii="Calibri" w:hAnsi="Calibri"/>
          <w:sz w:val="20"/>
          <w:szCs w:val="20"/>
        </w:rPr>
        <w:t xml:space="preserve"> la troisième font apparaî</w:t>
      </w:r>
      <w:r w:rsidRPr="00987788">
        <w:rPr>
          <w:rFonts w:ascii="Calibri" w:hAnsi="Calibri"/>
          <w:sz w:val="20"/>
          <w:szCs w:val="20"/>
        </w:rPr>
        <w:t>tre un consensus sur plusieurs pistes de progrès à engager:</w:t>
      </w:r>
    </w:p>
    <w:p w:rsidR="0071449E" w:rsidRPr="00987788" w:rsidRDefault="0071449E" w:rsidP="00987788">
      <w:pPr>
        <w:jc w:val="both"/>
        <w:rPr>
          <w:rFonts w:ascii="Calibri" w:hAnsi="Calibri"/>
          <w:sz w:val="20"/>
          <w:szCs w:val="20"/>
        </w:rPr>
      </w:pPr>
    </w:p>
    <w:p w:rsidR="0071449E" w:rsidRPr="00987788" w:rsidRDefault="0071449E" w:rsidP="0098778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 xml:space="preserve">Simplifier et alléger les procédures administratives du dispositif dans le but d’optimiser le temps et les </w:t>
      </w:r>
      <w:r w:rsidRPr="00C73FF4">
        <w:rPr>
          <w:rFonts w:ascii="Calibri" w:hAnsi="Calibri"/>
          <w:sz w:val="20"/>
          <w:szCs w:val="20"/>
        </w:rPr>
        <w:t xml:space="preserve">coûts </w:t>
      </w:r>
      <w:r w:rsidRPr="00987788">
        <w:rPr>
          <w:rFonts w:ascii="Calibri" w:hAnsi="Calibri"/>
          <w:sz w:val="20"/>
          <w:szCs w:val="20"/>
        </w:rPr>
        <w:t>de traitement des dossiers de travaux</w:t>
      </w:r>
      <w:r w:rsidR="006C1722">
        <w:rPr>
          <w:rFonts w:ascii="Calibri" w:hAnsi="Calibri"/>
          <w:sz w:val="20"/>
          <w:szCs w:val="20"/>
        </w:rPr>
        <w:t>.</w:t>
      </w:r>
    </w:p>
    <w:p w:rsidR="0071449E" w:rsidRDefault="0071449E" w:rsidP="0098778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>Accompagner et fiabiliser le parcours des consommateurs et des ménages dans leur quête d’information et l’étude d’options techniques afin de renforcer les relations de confiance entre les donneurs d’ordre, les e</w:t>
      </w:r>
      <w:r>
        <w:rPr>
          <w:rFonts w:ascii="Calibri" w:hAnsi="Calibri"/>
          <w:sz w:val="20"/>
          <w:szCs w:val="20"/>
        </w:rPr>
        <w:t>ntreprises et l’administration.</w:t>
      </w:r>
    </w:p>
    <w:p w:rsidR="0071449E" w:rsidRPr="00987788" w:rsidRDefault="0071449E" w:rsidP="000249FA">
      <w:pPr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>L’idée d’un « passeport  de l’efficacité énergétique » a été évoquée par GDF Suez</w:t>
      </w:r>
      <w:r w:rsidR="006C1722">
        <w:rPr>
          <w:rFonts w:ascii="Calibri" w:hAnsi="Calibri"/>
          <w:sz w:val="20"/>
          <w:szCs w:val="20"/>
        </w:rPr>
        <w:t>.</w:t>
      </w:r>
    </w:p>
    <w:p w:rsidR="0071449E" w:rsidRDefault="0071449E" w:rsidP="0098778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>Structurer e</w:t>
      </w:r>
      <w:r w:rsidR="006C1722">
        <w:rPr>
          <w:rFonts w:ascii="Calibri" w:hAnsi="Calibri"/>
          <w:sz w:val="20"/>
          <w:szCs w:val="20"/>
        </w:rPr>
        <w:t>t élargir les offres tout en maî</w:t>
      </w:r>
      <w:r w:rsidRPr="00987788">
        <w:rPr>
          <w:rFonts w:ascii="Calibri" w:hAnsi="Calibri"/>
          <w:sz w:val="20"/>
          <w:szCs w:val="20"/>
        </w:rPr>
        <w:t xml:space="preserve">trisant les </w:t>
      </w:r>
      <w:r w:rsidRPr="008338CD">
        <w:rPr>
          <w:rFonts w:ascii="Calibri" w:hAnsi="Calibri"/>
          <w:sz w:val="20"/>
          <w:szCs w:val="20"/>
        </w:rPr>
        <w:t xml:space="preserve">coûts </w:t>
      </w:r>
      <w:r w:rsidRPr="00987788">
        <w:rPr>
          <w:rFonts w:ascii="Calibri" w:hAnsi="Calibri"/>
          <w:sz w:val="20"/>
          <w:szCs w:val="20"/>
        </w:rPr>
        <w:t>de travaux par nature d’opération en fonc</w:t>
      </w:r>
      <w:r>
        <w:rPr>
          <w:rFonts w:ascii="Calibri" w:hAnsi="Calibri"/>
          <w:sz w:val="20"/>
          <w:szCs w:val="20"/>
        </w:rPr>
        <w:t>tion des retours d’expérience.</w:t>
      </w:r>
    </w:p>
    <w:p w:rsidR="0071449E" w:rsidRPr="00987788" w:rsidRDefault="0071449E" w:rsidP="000249FA">
      <w:pPr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>Pétrovex/Auchan parle d’un « argus des travaux de rénovation thermique »</w:t>
      </w:r>
    </w:p>
    <w:p w:rsidR="0071449E" w:rsidRPr="00987788" w:rsidRDefault="0071449E" w:rsidP="0098778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>Clarifier, faciliter, élargir… les solutions de financement des travaux d’économie</w:t>
      </w:r>
      <w:r w:rsidR="006C1722">
        <w:rPr>
          <w:rFonts w:ascii="Calibri" w:hAnsi="Calibri"/>
          <w:sz w:val="20"/>
          <w:szCs w:val="20"/>
        </w:rPr>
        <w:t>s</w:t>
      </w:r>
      <w:r w:rsidRPr="00987788">
        <w:rPr>
          <w:rFonts w:ascii="Calibri" w:hAnsi="Calibri"/>
          <w:sz w:val="20"/>
          <w:szCs w:val="20"/>
        </w:rPr>
        <w:t xml:space="preserve"> d’énergie (éco PTZ notamment) afin de les rendre plus accessibles, de créer plus d’effet</w:t>
      </w:r>
      <w:r w:rsidR="006C1722">
        <w:rPr>
          <w:rFonts w:ascii="Calibri" w:hAnsi="Calibri"/>
          <w:sz w:val="20"/>
          <w:szCs w:val="20"/>
        </w:rPr>
        <w:t>s incitatifs et de faire apparaî</w:t>
      </w:r>
      <w:r w:rsidRPr="00987788">
        <w:rPr>
          <w:rFonts w:ascii="Calibri" w:hAnsi="Calibri"/>
          <w:sz w:val="20"/>
          <w:szCs w:val="20"/>
        </w:rPr>
        <w:t xml:space="preserve">tre des options d’amortissement intégrant les gains financiers obtenus par les réductions de consommations dans le temps. </w:t>
      </w:r>
    </w:p>
    <w:p w:rsidR="0071449E" w:rsidRDefault="0071449E" w:rsidP="000249FA">
      <w:pPr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 xml:space="preserve">Cela veut dire, cibler rationnellement les choix de travaux selon des critères de priorités et de retours sur investissement. </w:t>
      </w:r>
    </w:p>
    <w:p w:rsidR="0071449E" w:rsidRDefault="0071449E" w:rsidP="000249FA">
      <w:pPr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>Donc bien comprendre et mesurer la réalité de l’efficacit</w:t>
      </w:r>
      <w:r w:rsidR="006C1722">
        <w:rPr>
          <w:rFonts w:ascii="Calibri" w:hAnsi="Calibri"/>
          <w:sz w:val="20"/>
          <w:szCs w:val="20"/>
        </w:rPr>
        <w:t>é des travaux en faisant apparaî</w:t>
      </w:r>
      <w:r w:rsidRPr="00987788">
        <w:rPr>
          <w:rFonts w:ascii="Calibri" w:hAnsi="Calibri"/>
          <w:sz w:val="20"/>
          <w:szCs w:val="20"/>
        </w:rPr>
        <w:t xml:space="preserve">tre les réels gains additionnels. </w:t>
      </w:r>
    </w:p>
    <w:p w:rsidR="0071449E" w:rsidRPr="00987788" w:rsidRDefault="0071449E" w:rsidP="000249FA">
      <w:pPr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Cela traduit un b</w:t>
      </w:r>
      <w:r w:rsidRPr="00987788">
        <w:rPr>
          <w:rFonts w:ascii="Calibri" w:hAnsi="Calibri"/>
          <w:sz w:val="20"/>
          <w:szCs w:val="20"/>
        </w:rPr>
        <w:t>esoin de pragmatisme et de réalisme</w:t>
      </w:r>
      <w:r w:rsidR="006C1722">
        <w:rPr>
          <w:rFonts w:ascii="Calibri" w:hAnsi="Calibri"/>
          <w:sz w:val="20"/>
          <w:szCs w:val="20"/>
        </w:rPr>
        <w:t>.</w:t>
      </w:r>
      <w:r w:rsidRPr="00987788">
        <w:rPr>
          <w:rFonts w:ascii="Calibri" w:hAnsi="Calibri"/>
          <w:sz w:val="20"/>
          <w:szCs w:val="20"/>
        </w:rPr>
        <w:t xml:space="preserve"> </w:t>
      </w:r>
    </w:p>
    <w:p w:rsidR="0071449E" w:rsidRPr="00987788" w:rsidRDefault="0071449E" w:rsidP="0098778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>Valoriser les produits et techniques apportant des performances améliorées en utilisant opportunément les aides financières pour absorber les plus values et profiter ainsi immédiatement des gains de rendement.</w:t>
      </w:r>
    </w:p>
    <w:p w:rsidR="0071449E" w:rsidRDefault="0071449E" w:rsidP="0098778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>Soutenir et poursuivre les action</w:t>
      </w:r>
      <w:r>
        <w:rPr>
          <w:rFonts w:ascii="Calibri" w:hAnsi="Calibri"/>
          <w:sz w:val="20"/>
          <w:szCs w:val="20"/>
        </w:rPr>
        <w:t>s de formation des entreprises</w:t>
      </w:r>
    </w:p>
    <w:p w:rsidR="0071449E" w:rsidRPr="00987788" w:rsidRDefault="0071449E" w:rsidP="000249FA">
      <w:pPr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</w:t>
      </w:r>
      <w:r w:rsidRPr="00987788">
        <w:rPr>
          <w:rFonts w:ascii="Calibri" w:hAnsi="Calibri"/>
          <w:sz w:val="20"/>
          <w:szCs w:val="20"/>
        </w:rPr>
        <w:t>e programme FEEBAT doit être maintenu tout en modifiant son modèle de financement pour le rendre plus équitable et gérable par ses sponsors (dont principalement EDF)</w:t>
      </w:r>
    </w:p>
    <w:p w:rsidR="0071449E" w:rsidRDefault="0071449E" w:rsidP="0098778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Mener</w:t>
      </w:r>
      <w:r w:rsidRPr="00987788">
        <w:rPr>
          <w:rFonts w:ascii="Calibri" w:hAnsi="Calibri"/>
          <w:sz w:val="20"/>
          <w:szCs w:val="20"/>
        </w:rPr>
        <w:t xml:space="preserve"> à leur te</w:t>
      </w:r>
      <w:r>
        <w:rPr>
          <w:rFonts w:ascii="Calibri" w:hAnsi="Calibri"/>
          <w:sz w:val="20"/>
          <w:szCs w:val="20"/>
        </w:rPr>
        <w:t>rme des programmes d’ingénierie et d’accompagnement</w:t>
      </w:r>
    </w:p>
    <w:p w:rsidR="0071449E" w:rsidRDefault="0071449E" w:rsidP="00987788">
      <w:pPr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Pr="00987788">
        <w:rPr>
          <w:rFonts w:ascii="Calibri" w:hAnsi="Calibri"/>
          <w:sz w:val="20"/>
          <w:szCs w:val="20"/>
        </w:rPr>
        <w:t>el que RAGE (révision des règles de l’art) qui donnent  une dimension plus rationnelle aux recommandations techniques en fonction des évolutions des produits et méthodes.</w:t>
      </w:r>
    </w:p>
    <w:p w:rsidR="0071449E" w:rsidRDefault="0071449E" w:rsidP="0098778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987788">
        <w:rPr>
          <w:rFonts w:ascii="Calibri" w:hAnsi="Calibri"/>
          <w:sz w:val="20"/>
          <w:szCs w:val="20"/>
        </w:rPr>
        <w:t xml:space="preserve">rendre en compte la </w:t>
      </w:r>
      <w:r>
        <w:rPr>
          <w:rFonts w:ascii="Calibri" w:hAnsi="Calibri"/>
          <w:sz w:val="20"/>
          <w:szCs w:val="20"/>
        </w:rPr>
        <w:t>problématique</w:t>
      </w:r>
      <w:r w:rsidRPr="00987788">
        <w:rPr>
          <w:rFonts w:ascii="Calibri" w:hAnsi="Calibri"/>
          <w:sz w:val="20"/>
          <w:szCs w:val="20"/>
        </w:rPr>
        <w:t xml:space="preserve"> posée par la </w:t>
      </w:r>
      <w:r>
        <w:rPr>
          <w:rFonts w:ascii="Calibri" w:hAnsi="Calibri"/>
          <w:sz w:val="20"/>
          <w:szCs w:val="20"/>
        </w:rPr>
        <w:t>montée</w:t>
      </w:r>
      <w:r w:rsidRPr="00987788">
        <w:rPr>
          <w:rFonts w:ascii="Calibri" w:hAnsi="Calibri"/>
          <w:sz w:val="20"/>
          <w:szCs w:val="20"/>
        </w:rPr>
        <w:t xml:space="preserve"> de la précarité énergétiq</w:t>
      </w:r>
      <w:r>
        <w:rPr>
          <w:rFonts w:ascii="Calibri" w:hAnsi="Calibri"/>
          <w:sz w:val="20"/>
          <w:szCs w:val="20"/>
        </w:rPr>
        <w:t xml:space="preserve">ue dans notre pays tant sur le </w:t>
      </w:r>
      <w:r w:rsidRPr="00987788">
        <w:rPr>
          <w:rFonts w:ascii="Calibri" w:hAnsi="Calibri"/>
          <w:sz w:val="20"/>
          <w:szCs w:val="20"/>
        </w:rPr>
        <w:t xml:space="preserve">plan social que technique pour l’habitat. </w:t>
      </w:r>
    </w:p>
    <w:p w:rsidR="0071449E" w:rsidRDefault="0071449E" w:rsidP="00987788">
      <w:pPr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</w:t>
      </w:r>
      <w:r w:rsidRPr="00987788">
        <w:rPr>
          <w:rFonts w:ascii="Calibri" w:hAnsi="Calibri"/>
          <w:sz w:val="20"/>
          <w:szCs w:val="20"/>
        </w:rPr>
        <w:t xml:space="preserve">e programme «Habiter Mieux » de l’ANAH bien que reconnu d’intérêt général apparait comme insuffisamment  efficace </w:t>
      </w:r>
      <w:r>
        <w:rPr>
          <w:rFonts w:ascii="Calibri" w:hAnsi="Calibri"/>
          <w:sz w:val="20"/>
          <w:szCs w:val="20"/>
        </w:rPr>
        <w:t xml:space="preserve">en regard des résultats atteints </w:t>
      </w:r>
      <w:r w:rsidRPr="00987788">
        <w:rPr>
          <w:rFonts w:ascii="Calibri" w:hAnsi="Calibri"/>
          <w:sz w:val="20"/>
          <w:szCs w:val="20"/>
        </w:rPr>
        <w:t xml:space="preserve">et mériterait d’être relancé et optimisé, sans oublier les autres actions en faveur des démunis énergétiques et de la solidarité habitat (Fondation Abbé Pierre)  </w:t>
      </w:r>
    </w:p>
    <w:p w:rsidR="0071449E" w:rsidRDefault="0071449E" w:rsidP="00FE0764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Mobiliser les </w:t>
      </w:r>
      <w:r w:rsidRPr="00987788">
        <w:rPr>
          <w:rFonts w:ascii="Calibri" w:hAnsi="Calibri"/>
          <w:sz w:val="20"/>
          <w:szCs w:val="20"/>
        </w:rPr>
        <w:t xml:space="preserve">collectivités territoriales </w:t>
      </w:r>
      <w:r>
        <w:rPr>
          <w:rFonts w:ascii="Calibri" w:hAnsi="Calibri"/>
          <w:sz w:val="20"/>
          <w:szCs w:val="20"/>
        </w:rPr>
        <w:t>sur la</w:t>
      </w:r>
      <w:r w:rsidRPr="00987788">
        <w:rPr>
          <w:rFonts w:ascii="Calibri" w:hAnsi="Calibri"/>
          <w:sz w:val="20"/>
          <w:szCs w:val="20"/>
        </w:rPr>
        <w:t xml:space="preserve"> transition énergétique</w:t>
      </w:r>
      <w:r w:rsidR="00BF21AA">
        <w:rPr>
          <w:rFonts w:ascii="Calibri" w:hAnsi="Calibri"/>
          <w:sz w:val="20"/>
          <w:szCs w:val="20"/>
        </w:rPr>
        <w:t>.</w:t>
      </w:r>
      <w:r w:rsidRPr="00987788">
        <w:rPr>
          <w:rFonts w:ascii="Calibri" w:hAnsi="Calibri"/>
          <w:sz w:val="20"/>
          <w:szCs w:val="20"/>
        </w:rPr>
        <w:t xml:space="preserve"> </w:t>
      </w:r>
    </w:p>
    <w:p w:rsidR="0071449E" w:rsidRDefault="0071449E" w:rsidP="0098778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Soutenir le concept d’écoconditionalité et</w:t>
      </w:r>
      <w:r w:rsidRPr="0098778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l’évolution de la </w:t>
      </w:r>
      <w:r w:rsidRPr="00987788">
        <w:rPr>
          <w:rFonts w:ascii="Calibri" w:hAnsi="Calibri"/>
          <w:sz w:val="20"/>
          <w:szCs w:val="20"/>
        </w:rPr>
        <w:t>qualification des entreprises (mention RGE)</w:t>
      </w:r>
    </w:p>
    <w:p w:rsidR="0071449E" w:rsidRPr="00987788" w:rsidRDefault="0071449E" w:rsidP="00987788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Favoriser</w:t>
      </w:r>
      <w:r w:rsidRPr="00987788">
        <w:rPr>
          <w:rFonts w:ascii="Calibri" w:hAnsi="Calibri"/>
          <w:sz w:val="20"/>
          <w:szCs w:val="20"/>
        </w:rPr>
        <w:t xml:space="preserve"> la recherche de solutions nouvelle</w:t>
      </w:r>
      <w:r>
        <w:rPr>
          <w:rFonts w:ascii="Calibri" w:hAnsi="Calibri"/>
          <w:sz w:val="20"/>
          <w:szCs w:val="20"/>
        </w:rPr>
        <w:t>s</w:t>
      </w:r>
      <w:r w:rsidRPr="00987788">
        <w:rPr>
          <w:rFonts w:ascii="Calibri" w:hAnsi="Calibri"/>
          <w:sz w:val="20"/>
          <w:szCs w:val="20"/>
        </w:rPr>
        <w:t xml:space="preserve"> en matière de financement de l’effort énergétique</w:t>
      </w:r>
      <w:r>
        <w:rPr>
          <w:rFonts w:ascii="Calibri" w:hAnsi="Calibri"/>
          <w:sz w:val="20"/>
          <w:szCs w:val="20"/>
        </w:rPr>
        <w:t xml:space="preserve"> pouvant </w:t>
      </w:r>
      <w:r w:rsidR="00BF21AA">
        <w:rPr>
          <w:rFonts w:ascii="Calibri" w:hAnsi="Calibri"/>
          <w:sz w:val="20"/>
          <w:szCs w:val="20"/>
        </w:rPr>
        <w:t xml:space="preserve">aboutir </w:t>
      </w:r>
      <w:r w:rsidRPr="00987788">
        <w:rPr>
          <w:rFonts w:ascii="Calibri" w:hAnsi="Calibri"/>
          <w:sz w:val="20"/>
          <w:szCs w:val="20"/>
        </w:rPr>
        <w:t xml:space="preserve">à des conceptions </w:t>
      </w:r>
      <w:r>
        <w:rPr>
          <w:rFonts w:ascii="Calibri" w:hAnsi="Calibri"/>
          <w:sz w:val="20"/>
          <w:szCs w:val="20"/>
        </w:rPr>
        <w:t xml:space="preserve">différentes et vertueuses </w:t>
      </w:r>
      <w:r w:rsidRPr="00987788">
        <w:rPr>
          <w:rFonts w:ascii="Calibri" w:hAnsi="Calibri"/>
          <w:sz w:val="20"/>
          <w:szCs w:val="20"/>
        </w:rPr>
        <w:t>de la valorisation du patrimoine immobilier et à sa fiscalisation.</w:t>
      </w:r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>Alors certes des différences de point de vue demeurent et certaines questions restent sans réponse (à ce jour):</w:t>
      </w:r>
    </w:p>
    <w:p w:rsidR="0071449E" w:rsidRPr="00987788" w:rsidRDefault="0071449E" w:rsidP="00987788">
      <w:pPr>
        <w:jc w:val="both"/>
        <w:rPr>
          <w:rFonts w:ascii="Calibri" w:hAnsi="Calibri"/>
          <w:sz w:val="20"/>
          <w:szCs w:val="20"/>
        </w:rPr>
      </w:pPr>
    </w:p>
    <w:p w:rsidR="0071449E" w:rsidRPr="00987788" w:rsidRDefault="0071449E" w:rsidP="00987788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>Pour</w:t>
      </w:r>
      <w:r>
        <w:rPr>
          <w:rFonts w:ascii="Calibri" w:hAnsi="Calibri"/>
          <w:sz w:val="20"/>
          <w:szCs w:val="20"/>
        </w:rPr>
        <w:t>quoi les « obligés » ne peuvent-</w:t>
      </w:r>
      <w:r w:rsidRPr="00987788">
        <w:rPr>
          <w:rFonts w:ascii="Calibri" w:hAnsi="Calibri"/>
          <w:sz w:val="20"/>
          <w:szCs w:val="20"/>
        </w:rPr>
        <w:t xml:space="preserve">ils pas tous répercuter les </w:t>
      </w:r>
      <w:r w:rsidRPr="00C73FF4">
        <w:rPr>
          <w:rFonts w:ascii="Calibri" w:hAnsi="Calibri"/>
          <w:sz w:val="20"/>
          <w:szCs w:val="20"/>
        </w:rPr>
        <w:t>coûts</w:t>
      </w:r>
      <w:r w:rsidRPr="00987788">
        <w:rPr>
          <w:rFonts w:ascii="Calibri" w:hAnsi="Calibri"/>
          <w:sz w:val="20"/>
          <w:szCs w:val="20"/>
        </w:rPr>
        <w:t xml:space="preserve"> des CEE dans leur facturation créant ainsi une distorsion de concurrence </w:t>
      </w:r>
      <w:r w:rsidRPr="00C73FF4">
        <w:rPr>
          <w:rFonts w:ascii="Calibri" w:hAnsi="Calibri"/>
          <w:sz w:val="20"/>
          <w:szCs w:val="20"/>
        </w:rPr>
        <w:t>ressentie</w:t>
      </w:r>
      <w:r w:rsidRPr="00987788">
        <w:rPr>
          <w:rFonts w:ascii="Calibri" w:hAnsi="Calibri"/>
          <w:sz w:val="20"/>
          <w:szCs w:val="20"/>
        </w:rPr>
        <w:t xml:space="preserve"> comme une injustice et un traitement inéquitable (cas des deux majors EDF et GDF Suez dont les tarifs </w:t>
      </w:r>
      <w:r w:rsidRPr="009C2226">
        <w:rPr>
          <w:rFonts w:ascii="Calibri" w:hAnsi="Calibri"/>
          <w:sz w:val="20"/>
          <w:szCs w:val="20"/>
        </w:rPr>
        <w:t>réglementés</w:t>
      </w:r>
      <w:r>
        <w:rPr>
          <w:rFonts w:ascii="Calibri" w:hAnsi="Calibri"/>
          <w:sz w:val="20"/>
          <w:szCs w:val="20"/>
        </w:rPr>
        <w:t xml:space="preserve"> </w:t>
      </w:r>
      <w:r w:rsidRPr="00987788">
        <w:rPr>
          <w:rFonts w:ascii="Calibri" w:hAnsi="Calibri"/>
          <w:sz w:val="20"/>
          <w:szCs w:val="20"/>
        </w:rPr>
        <w:t xml:space="preserve">sont </w:t>
      </w:r>
      <w:r w:rsidRPr="00C73FF4">
        <w:rPr>
          <w:rFonts w:ascii="Calibri" w:hAnsi="Calibri"/>
          <w:sz w:val="20"/>
          <w:szCs w:val="20"/>
        </w:rPr>
        <w:t>fermement</w:t>
      </w:r>
      <w:r w:rsidRPr="00987788">
        <w:rPr>
          <w:rFonts w:ascii="Calibri" w:hAnsi="Calibri"/>
          <w:sz w:val="20"/>
          <w:szCs w:val="20"/>
        </w:rPr>
        <w:t xml:space="preserve"> encadrés) </w:t>
      </w:r>
    </w:p>
    <w:p w:rsidR="0071449E" w:rsidRPr="00987788" w:rsidRDefault="0071449E" w:rsidP="00987788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 xml:space="preserve">Les obligés et structures collectives ne </w:t>
      </w:r>
      <w:r>
        <w:rPr>
          <w:rFonts w:ascii="Calibri" w:hAnsi="Calibri"/>
          <w:sz w:val="20"/>
          <w:szCs w:val="20"/>
        </w:rPr>
        <w:t>ciblent</w:t>
      </w:r>
      <w:r w:rsidRPr="00987788">
        <w:rPr>
          <w:rFonts w:ascii="Calibri" w:hAnsi="Calibri"/>
          <w:sz w:val="20"/>
          <w:szCs w:val="20"/>
        </w:rPr>
        <w:t xml:space="preserve"> pas tous de la même manière le bénéficiaire des travaux ou l’intermédiaire prof</w:t>
      </w:r>
      <w:r>
        <w:rPr>
          <w:rFonts w:ascii="Calibri" w:hAnsi="Calibri"/>
          <w:sz w:val="20"/>
          <w:szCs w:val="20"/>
        </w:rPr>
        <w:t xml:space="preserve">essionnel en terme de </w:t>
      </w:r>
      <w:r w:rsidRPr="00987788">
        <w:rPr>
          <w:rFonts w:ascii="Calibri" w:hAnsi="Calibri"/>
          <w:sz w:val="20"/>
          <w:szCs w:val="20"/>
        </w:rPr>
        <w:t>rémunération des primes CEE, générant ainsi dans l’esprit du public quelques incompréhensions et doute</w:t>
      </w:r>
      <w:r>
        <w:rPr>
          <w:rFonts w:ascii="Calibri" w:hAnsi="Calibri"/>
          <w:sz w:val="20"/>
          <w:szCs w:val="20"/>
        </w:rPr>
        <w:t>s</w:t>
      </w:r>
      <w:r w:rsidRPr="00987788">
        <w:rPr>
          <w:rFonts w:ascii="Calibri" w:hAnsi="Calibri"/>
          <w:sz w:val="20"/>
          <w:szCs w:val="20"/>
        </w:rPr>
        <w:t xml:space="preserve"> sur </w:t>
      </w:r>
      <w:r w:rsidRPr="00C73FF4">
        <w:rPr>
          <w:rFonts w:ascii="Calibri" w:hAnsi="Calibri"/>
          <w:sz w:val="20"/>
          <w:szCs w:val="20"/>
        </w:rPr>
        <w:t>la</w:t>
      </w:r>
      <w:r>
        <w:rPr>
          <w:rFonts w:ascii="Calibri" w:hAnsi="Calibri"/>
          <w:sz w:val="20"/>
          <w:szCs w:val="20"/>
        </w:rPr>
        <w:t xml:space="preserve"> </w:t>
      </w:r>
      <w:r w:rsidRPr="00987788">
        <w:rPr>
          <w:rFonts w:ascii="Calibri" w:hAnsi="Calibri"/>
          <w:sz w:val="20"/>
          <w:szCs w:val="20"/>
        </w:rPr>
        <w:t xml:space="preserve">valeur éthique des procédés, dans la mesure où une dimension commerciale et marketing peut venir </w:t>
      </w:r>
      <w:r>
        <w:rPr>
          <w:rFonts w:ascii="Calibri" w:hAnsi="Calibri"/>
          <w:sz w:val="20"/>
          <w:szCs w:val="20"/>
        </w:rPr>
        <w:t>voiler</w:t>
      </w:r>
      <w:r w:rsidRPr="00987788">
        <w:rPr>
          <w:rFonts w:ascii="Calibri" w:hAnsi="Calibri"/>
          <w:sz w:val="20"/>
          <w:szCs w:val="20"/>
        </w:rPr>
        <w:t xml:space="preserve"> le discours technique </w:t>
      </w:r>
      <w:r>
        <w:rPr>
          <w:rFonts w:ascii="Calibri" w:hAnsi="Calibri"/>
          <w:sz w:val="20"/>
          <w:szCs w:val="20"/>
        </w:rPr>
        <w:t xml:space="preserve">et </w:t>
      </w:r>
      <w:r w:rsidRPr="00987788">
        <w:rPr>
          <w:rFonts w:ascii="Calibri" w:hAnsi="Calibri"/>
          <w:sz w:val="20"/>
          <w:szCs w:val="20"/>
        </w:rPr>
        <w:t>argumentaire.</w:t>
      </w:r>
    </w:p>
    <w:p w:rsidR="0071449E" w:rsidRDefault="0071449E" w:rsidP="00987788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lastRenderedPageBreak/>
        <w:t xml:space="preserve">Certains considèrent que le signal prix ne peut être le seul levier au déclenchement de l’acte d’achat et que le besoin de confort conserve toute sa force. </w:t>
      </w:r>
    </w:p>
    <w:p w:rsidR="0071449E" w:rsidRDefault="0071449E" w:rsidP="00457DB5">
      <w:pPr>
        <w:numPr>
          <w:ilvl w:val="1"/>
          <w:numId w:val="6"/>
        </w:num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>Une approche globale et objective appuyée sur un audit énergétique ou un DPE structuré doit être menée avant d’engager une offre de travaux, la chasse à la prime à ses limites…</w:t>
      </w:r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</w:p>
    <w:p w:rsidR="0071449E" w:rsidRPr="00987788" w:rsidRDefault="0071449E" w:rsidP="00987788">
      <w:p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 xml:space="preserve">Enfin malgré ces quelques divergences de vues (parfois </w:t>
      </w:r>
      <w:r w:rsidR="00BF21AA">
        <w:rPr>
          <w:rFonts w:ascii="Calibri" w:hAnsi="Calibri"/>
          <w:sz w:val="20"/>
          <w:szCs w:val="20"/>
        </w:rPr>
        <w:t>bien ancrées il faut le reconnaî</w:t>
      </w:r>
      <w:r w:rsidRPr="00987788">
        <w:rPr>
          <w:rFonts w:ascii="Calibri" w:hAnsi="Calibri"/>
          <w:sz w:val="20"/>
          <w:szCs w:val="20"/>
        </w:rPr>
        <w:t xml:space="preserve">tre) tout le monde comprend qu’il ne serait pas positif de remettre en cause </w:t>
      </w:r>
      <w:r>
        <w:rPr>
          <w:rFonts w:ascii="Calibri" w:hAnsi="Calibri"/>
          <w:sz w:val="20"/>
          <w:szCs w:val="20"/>
        </w:rPr>
        <w:t>fondamentalement</w:t>
      </w:r>
      <w:r w:rsidRPr="00987788">
        <w:rPr>
          <w:rFonts w:ascii="Calibri" w:hAnsi="Calibri"/>
          <w:sz w:val="20"/>
          <w:szCs w:val="20"/>
        </w:rPr>
        <w:t xml:space="preserve"> un dispositif qui bien que perfectible commence à être compris par le marché et que </w:t>
      </w:r>
      <w:r>
        <w:rPr>
          <w:rFonts w:ascii="Calibri" w:hAnsi="Calibri"/>
          <w:sz w:val="20"/>
          <w:szCs w:val="20"/>
        </w:rPr>
        <w:t xml:space="preserve">dans la circonstance, </w:t>
      </w:r>
      <w:r w:rsidRPr="00987788">
        <w:rPr>
          <w:rFonts w:ascii="Calibri" w:hAnsi="Calibri"/>
          <w:sz w:val="20"/>
          <w:szCs w:val="20"/>
        </w:rPr>
        <w:t xml:space="preserve">la stabilité dans la politique de soutien à l’efficacité énergétique est un facteur clef à considérer dans l’objectif à atteindre. </w:t>
      </w:r>
    </w:p>
    <w:p w:rsidR="0071449E" w:rsidRPr="00987788" w:rsidRDefault="0071449E" w:rsidP="00987788">
      <w:pPr>
        <w:jc w:val="both"/>
        <w:rPr>
          <w:rFonts w:ascii="Calibri" w:hAnsi="Calibri"/>
          <w:sz w:val="20"/>
          <w:szCs w:val="20"/>
        </w:rPr>
      </w:pPr>
    </w:p>
    <w:p w:rsidR="0071449E" w:rsidRPr="00457DB5" w:rsidRDefault="0071449E" w:rsidP="00987788">
      <w:pPr>
        <w:jc w:val="both"/>
        <w:rPr>
          <w:rFonts w:ascii="Calibri" w:hAnsi="Calibri"/>
          <w:sz w:val="20"/>
          <w:szCs w:val="20"/>
        </w:rPr>
      </w:pPr>
      <w:r w:rsidRPr="00457DB5">
        <w:rPr>
          <w:rFonts w:ascii="Calibri" w:hAnsi="Calibri"/>
          <w:sz w:val="20"/>
          <w:szCs w:val="20"/>
        </w:rPr>
        <w:t xml:space="preserve">Les professionnels de l’installation </w:t>
      </w:r>
      <w:r>
        <w:rPr>
          <w:rFonts w:ascii="Calibri" w:hAnsi="Calibri"/>
          <w:sz w:val="20"/>
          <w:szCs w:val="20"/>
        </w:rPr>
        <w:t xml:space="preserve">(CAPEB, FFB) mais aussi </w:t>
      </w:r>
      <w:r w:rsidRPr="00457DB5">
        <w:rPr>
          <w:rFonts w:ascii="Calibri" w:hAnsi="Calibri"/>
          <w:sz w:val="20"/>
          <w:szCs w:val="20"/>
        </w:rPr>
        <w:t xml:space="preserve">de la distribution appellent donc de leurs vœux une poursuite du système des CEE en </w:t>
      </w:r>
      <w:r>
        <w:rPr>
          <w:rFonts w:ascii="Calibri" w:hAnsi="Calibri"/>
          <w:sz w:val="20"/>
          <w:szCs w:val="20"/>
        </w:rPr>
        <w:t>convenant</w:t>
      </w:r>
      <w:r w:rsidRPr="00457DB5">
        <w:rPr>
          <w:rFonts w:ascii="Calibri" w:hAnsi="Calibri"/>
          <w:sz w:val="20"/>
          <w:szCs w:val="20"/>
        </w:rPr>
        <w:t xml:space="preserve"> cependant de revoir les points bloquants, conscients des difficultés qu’ils génèrent et du risque qu’ils font peser sur sa pérennité.</w:t>
      </w:r>
    </w:p>
    <w:p w:rsidR="0071449E" w:rsidRPr="00457DB5" w:rsidRDefault="0071449E" w:rsidP="00987788">
      <w:pPr>
        <w:jc w:val="both"/>
        <w:rPr>
          <w:rFonts w:ascii="Calibri" w:hAnsi="Calibri"/>
          <w:color w:val="000080"/>
          <w:sz w:val="20"/>
          <w:szCs w:val="20"/>
        </w:rPr>
      </w:pPr>
      <w:r w:rsidRPr="00457DB5">
        <w:rPr>
          <w:rFonts w:ascii="Calibri" w:hAnsi="Calibri"/>
          <w:sz w:val="20"/>
          <w:szCs w:val="20"/>
        </w:rPr>
        <w:t xml:space="preserve"> Ils rappellent </w:t>
      </w:r>
      <w:r>
        <w:rPr>
          <w:rFonts w:ascii="Calibri" w:hAnsi="Calibri"/>
          <w:sz w:val="20"/>
          <w:szCs w:val="20"/>
        </w:rPr>
        <w:t xml:space="preserve">par ailleurs </w:t>
      </w:r>
      <w:r w:rsidRPr="00457DB5">
        <w:rPr>
          <w:rFonts w:ascii="Calibri" w:hAnsi="Calibri"/>
          <w:sz w:val="20"/>
          <w:szCs w:val="20"/>
        </w:rPr>
        <w:t>que les CEE aident à mettre en œuvre des solutions techniques à valeur ajoutée et généra</w:t>
      </w:r>
      <w:r>
        <w:rPr>
          <w:rFonts w:ascii="Calibri" w:hAnsi="Calibri"/>
          <w:sz w:val="20"/>
          <w:szCs w:val="20"/>
        </w:rPr>
        <w:t>trices d’économies d’énergie, l’</w:t>
      </w:r>
      <w:r w:rsidRPr="00457DB5">
        <w:rPr>
          <w:rFonts w:ascii="Calibri" w:hAnsi="Calibri"/>
          <w:sz w:val="20"/>
          <w:szCs w:val="20"/>
        </w:rPr>
        <w:t xml:space="preserve">installateur </w:t>
      </w:r>
      <w:r>
        <w:rPr>
          <w:rFonts w:ascii="Calibri" w:hAnsi="Calibri"/>
          <w:sz w:val="20"/>
          <w:szCs w:val="20"/>
        </w:rPr>
        <w:t xml:space="preserve">et le distributeur agissant en </w:t>
      </w:r>
      <w:r w:rsidRPr="00457DB5">
        <w:rPr>
          <w:rFonts w:ascii="Calibri" w:hAnsi="Calibri"/>
          <w:sz w:val="20"/>
          <w:szCs w:val="20"/>
        </w:rPr>
        <w:t xml:space="preserve">relai de communication </w:t>
      </w:r>
      <w:r>
        <w:rPr>
          <w:rFonts w:ascii="Calibri" w:hAnsi="Calibri"/>
          <w:sz w:val="20"/>
          <w:szCs w:val="20"/>
        </w:rPr>
        <w:t xml:space="preserve">et de </w:t>
      </w:r>
      <w:r w:rsidRPr="00457DB5">
        <w:rPr>
          <w:rFonts w:ascii="Calibri" w:hAnsi="Calibri"/>
          <w:sz w:val="20"/>
          <w:szCs w:val="20"/>
        </w:rPr>
        <w:t xml:space="preserve"> diffusion des CEE auprès du grand public</w:t>
      </w:r>
      <w:r w:rsidRPr="00457DB5">
        <w:rPr>
          <w:rFonts w:ascii="Calibri" w:hAnsi="Calibri"/>
          <w:color w:val="000080"/>
          <w:sz w:val="20"/>
          <w:szCs w:val="20"/>
        </w:rPr>
        <w:t xml:space="preserve">.  </w:t>
      </w:r>
    </w:p>
    <w:p w:rsidR="0071449E" w:rsidRDefault="0071449E" w:rsidP="00987788">
      <w:pPr>
        <w:jc w:val="both"/>
        <w:rPr>
          <w:rFonts w:ascii="Calibri" w:hAnsi="Calibri"/>
          <w:color w:val="00B050"/>
          <w:sz w:val="20"/>
          <w:szCs w:val="20"/>
        </w:rPr>
      </w:pPr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  <w:r w:rsidRPr="00457DB5">
        <w:rPr>
          <w:rFonts w:ascii="Calibri" w:hAnsi="Calibri"/>
          <w:sz w:val="20"/>
          <w:szCs w:val="20"/>
        </w:rPr>
        <w:t>Enfin un souhait s’exprime également su</w:t>
      </w:r>
      <w:r>
        <w:rPr>
          <w:rFonts w:ascii="Calibri" w:hAnsi="Calibri"/>
          <w:sz w:val="20"/>
          <w:szCs w:val="20"/>
        </w:rPr>
        <w:t xml:space="preserve">r la nécessité de pouvoir </w:t>
      </w:r>
      <w:r w:rsidRPr="00457DB5">
        <w:rPr>
          <w:rFonts w:ascii="Calibri" w:hAnsi="Calibri"/>
          <w:sz w:val="20"/>
          <w:szCs w:val="20"/>
        </w:rPr>
        <w:t xml:space="preserve">mesurer l’efficacité énergétique réelle du dispositif des CEE, après travaux. </w:t>
      </w:r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  <w:r w:rsidRPr="00457DB5">
        <w:rPr>
          <w:rFonts w:ascii="Calibri" w:hAnsi="Calibri"/>
          <w:sz w:val="20"/>
          <w:szCs w:val="20"/>
        </w:rPr>
        <w:t>Cette « mesure » permettrait de mieux apprécier l’efficacité même du dispositif et son adaptation dans les années à venir.</w:t>
      </w:r>
    </w:p>
    <w:p w:rsidR="008338CD" w:rsidRPr="00457DB5" w:rsidRDefault="008338CD" w:rsidP="00987788">
      <w:pPr>
        <w:jc w:val="both"/>
        <w:rPr>
          <w:rFonts w:ascii="Calibri" w:hAnsi="Calibri"/>
          <w:sz w:val="20"/>
          <w:szCs w:val="20"/>
        </w:rPr>
      </w:pPr>
    </w:p>
    <w:p w:rsidR="0071449E" w:rsidRPr="009E28FA" w:rsidRDefault="0071449E" w:rsidP="00987788">
      <w:pPr>
        <w:jc w:val="both"/>
        <w:rPr>
          <w:rFonts w:ascii="Calibri" w:hAnsi="Calibri"/>
          <w:color w:val="00B050"/>
          <w:sz w:val="20"/>
          <w:szCs w:val="20"/>
        </w:rPr>
      </w:pPr>
    </w:p>
    <w:p w:rsidR="0071449E" w:rsidRPr="00975828" w:rsidRDefault="0071449E" w:rsidP="00C9758A">
      <w:pPr>
        <w:pStyle w:val="Paragraphedeliste"/>
        <w:numPr>
          <w:ilvl w:val="0"/>
          <w:numId w:val="9"/>
        </w:numPr>
        <w:ind w:left="284"/>
        <w:jc w:val="both"/>
        <w:rPr>
          <w:rFonts w:ascii="Calibri" w:hAnsi="Calibri"/>
          <w:b/>
          <w:color w:val="0070C0"/>
          <w:sz w:val="32"/>
          <w:szCs w:val="32"/>
          <w:u w:val="single"/>
        </w:rPr>
      </w:pPr>
      <w:r w:rsidRPr="00975828">
        <w:rPr>
          <w:rFonts w:ascii="Calibri" w:hAnsi="Calibri"/>
          <w:b/>
          <w:color w:val="0070C0"/>
          <w:sz w:val="32"/>
          <w:szCs w:val="32"/>
          <w:u w:val="single"/>
        </w:rPr>
        <w:t>Conclusions</w:t>
      </w:r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</w:p>
    <w:p w:rsidR="0071449E" w:rsidRDefault="0071449E" w:rsidP="0020709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</w:t>
      </w:r>
      <w:r w:rsidRPr="00987788">
        <w:rPr>
          <w:rFonts w:ascii="Calibri" w:hAnsi="Calibri"/>
          <w:sz w:val="20"/>
          <w:szCs w:val="20"/>
        </w:rPr>
        <w:t xml:space="preserve"> conclusion chacun semble vouloir se ranger à l’idée qu’il y a </w:t>
      </w:r>
      <w:r>
        <w:rPr>
          <w:rFonts w:ascii="Calibri" w:hAnsi="Calibri"/>
          <w:sz w:val="20"/>
          <w:szCs w:val="20"/>
        </w:rPr>
        <w:t xml:space="preserve">dans ce débat </w:t>
      </w:r>
      <w:r w:rsidRPr="00987788">
        <w:rPr>
          <w:rFonts w:ascii="Calibri" w:hAnsi="Calibri"/>
          <w:sz w:val="20"/>
          <w:szCs w:val="20"/>
        </w:rPr>
        <w:t>plus de converge</w:t>
      </w:r>
      <w:r w:rsidR="0087009A">
        <w:rPr>
          <w:rFonts w:ascii="Calibri" w:hAnsi="Calibri"/>
          <w:sz w:val="20"/>
          <w:szCs w:val="20"/>
        </w:rPr>
        <w:t xml:space="preserve">nces de vues que d’oppositions </w:t>
      </w:r>
      <w:r w:rsidRPr="00987788">
        <w:rPr>
          <w:rFonts w:ascii="Calibri" w:hAnsi="Calibri"/>
          <w:sz w:val="20"/>
          <w:szCs w:val="20"/>
        </w:rPr>
        <w:t>fondamentales.</w:t>
      </w:r>
    </w:p>
    <w:p w:rsidR="0071449E" w:rsidRDefault="0071449E" w:rsidP="00207098">
      <w:p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 xml:space="preserve">Le besoin d’amélioration énergétique du parc résidentiel et tertiaire </w:t>
      </w:r>
      <w:r>
        <w:rPr>
          <w:rFonts w:ascii="Calibri" w:hAnsi="Calibri"/>
          <w:sz w:val="20"/>
          <w:szCs w:val="20"/>
        </w:rPr>
        <w:t xml:space="preserve">français </w:t>
      </w:r>
      <w:r w:rsidRPr="00987788">
        <w:rPr>
          <w:rFonts w:ascii="Calibri" w:hAnsi="Calibri"/>
          <w:sz w:val="20"/>
          <w:szCs w:val="20"/>
        </w:rPr>
        <w:t>est une réalité non discutable, tout comme l’intérêt économique qu’i</w:t>
      </w:r>
      <w:r>
        <w:rPr>
          <w:rFonts w:ascii="Calibri" w:hAnsi="Calibri"/>
          <w:sz w:val="20"/>
          <w:szCs w:val="20"/>
        </w:rPr>
        <w:t xml:space="preserve">l peut apporter aux </w:t>
      </w:r>
      <w:r w:rsidRPr="00987788">
        <w:rPr>
          <w:rFonts w:ascii="Calibri" w:hAnsi="Calibri"/>
          <w:sz w:val="20"/>
          <w:szCs w:val="20"/>
        </w:rPr>
        <w:t>métiers du bâtiment et à la relance d’un emploi non délocalisable.</w:t>
      </w:r>
    </w:p>
    <w:p w:rsidR="0071449E" w:rsidRPr="00207098" w:rsidRDefault="0071449E" w:rsidP="00987788">
      <w:pPr>
        <w:jc w:val="both"/>
        <w:rPr>
          <w:rFonts w:ascii="Calibri" w:hAnsi="Calibri"/>
          <w:sz w:val="20"/>
          <w:szCs w:val="20"/>
        </w:rPr>
      </w:pPr>
      <w:r w:rsidRPr="00987788">
        <w:rPr>
          <w:rFonts w:ascii="Calibri" w:hAnsi="Calibri"/>
          <w:sz w:val="20"/>
          <w:szCs w:val="20"/>
        </w:rPr>
        <w:t>Dans un contexte de crise</w:t>
      </w:r>
      <w:r>
        <w:rPr>
          <w:rFonts w:ascii="Calibri" w:hAnsi="Calibri"/>
          <w:sz w:val="20"/>
          <w:szCs w:val="20"/>
        </w:rPr>
        <w:t>,</w:t>
      </w:r>
      <w:r w:rsidRPr="00987788">
        <w:rPr>
          <w:rFonts w:ascii="Calibri" w:hAnsi="Calibri"/>
          <w:sz w:val="20"/>
          <w:szCs w:val="20"/>
        </w:rPr>
        <w:t xml:space="preserve"> le marché de la rénovation thermique peut devenir une aubaine économique et </w:t>
      </w:r>
      <w:r w:rsidR="004C48CF">
        <w:rPr>
          <w:rFonts w:ascii="Calibri" w:hAnsi="Calibri"/>
          <w:sz w:val="20"/>
          <w:szCs w:val="20"/>
        </w:rPr>
        <w:t xml:space="preserve">un </w:t>
      </w:r>
      <w:r w:rsidRPr="00987788">
        <w:rPr>
          <w:rFonts w:ascii="Calibri" w:hAnsi="Calibri"/>
          <w:sz w:val="20"/>
          <w:szCs w:val="20"/>
        </w:rPr>
        <w:t xml:space="preserve">facteur de mobilisation d’une population professionnelle capable de s’unir pour réussir un objectif commun. </w:t>
      </w:r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  <w:r w:rsidRPr="00207098">
        <w:rPr>
          <w:rFonts w:ascii="Calibri" w:hAnsi="Calibri"/>
          <w:sz w:val="20"/>
          <w:szCs w:val="20"/>
        </w:rPr>
        <w:t xml:space="preserve">Ainsi le dispositif des CEE </w:t>
      </w:r>
      <w:r w:rsidR="004C48CF">
        <w:rPr>
          <w:rFonts w:ascii="Calibri" w:hAnsi="Calibri"/>
          <w:sz w:val="20"/>
          <w:szCs w:val="20"/>
        </w:rPr>
        <w:t xml:space="preserve">doit être maintenu mais certes </w:t>
      </w:r>
      <w:r w:rsidRPr="00207098">
        <w:rPr>
          <w:rFonts w:ascii="Calibri" w:hAnsi="Calibri"/>
          <w:sz w:val="20"/>
          <w:szCs w:val="20"/>
        </w:rPr>
        <w:t xml:space="preserve">adapté, amélioré et mieux communiqué pour être de mieux en mieux utilisé. </w:t>
      </w:r>
    </w:p>
    <w:p w:rsidR="0071449E" w:rsidRPr="00207098" w:rsidRDefault="0071449E" w:rsidP="00987788">
      <w:pPr>
        <w:jc w:val="both"/>
        <w:rPr>
          <w:rFonts w:ascii="Calibri" w:hAnsi="Calibri"/>
          <w:sz w:val="20"/>
          <w:szCs w:val="20"/>
        </w:rPr>
      </w:pPr>
      <w:r w:rsidRPr="00207098">
        <w:rPr>
          <w:rFonts w:ascii="Calibri" w:hAnsi="Calibri"/>
          <w:sz w:val="20"/>
          <w:szCs w:val="20"/>
        </w:rPr>
        <w:t xml:space="preserve">Les Pouvoirs Publics </w:t>
      </w:r>
      <w:r>
        <w:rPr>
          <w:rFonts w:ascii="Calibri" w:hAnsi="Calibri"/>
          <w:sz w:val="20"/>
          <w:szCs w:val="20"/>
        </w:rPr>
        <w:t>peuvent jouer ici</w:t>
      </w:r>
      <w:r w:rsidRPr="00207098">
        <w:rPr>
          <w:rFonts w:ascii="Calibri" w:hAnsi="Calibri"/>
          <w:sz w:val="20"/>
          <w:szCs w:val="20"/>
        </w:rPr>
        <w:t xml:space="preserve"> un rôle majeur en tant que chef d’orchestre pour faire du </w:t>
      </w:r>
      <w:r>
        <w:rPr>
          <w:rFonts w:ascii="Calibri" w:hAnsi="Calibri"/>
          <w:sz w:val="20"/>
          <w:szCs w:val="20"/>
        </w:rPr>
        <w:t>plan</w:t>
      </w:r>
      <w:r w:rsidRPr="00207098">
        <w:rPr>
          <w:rFonts w:ascii="Calibri" w:hAnsi="Calibri"/>
          <w:sz w:val="20"/>
          <w:szCs w:val="20"/>
        </w:rPr>
        <w:t xml:space="preserve"> CEE, un </w:t>
      </w:r>
      <w:r>
        <w:rPr>
          <w:rFonts w:ascii="Calibri" w:hAnsi="Calibri"/>
          <w:sz w:val="20"/>
          <w:szCs w:val="20"/>
        </w:rPr>
        <w:t xml:space="preserve">levier de croissance </w:t>
      </w:r>
      <w:r w:rsidRPr="00207098">
        <w:rPr>
          <w:rFonts w:ascii="Calibri" w:hAnsi="Calibri"/>
          <w:sz w:val="20"/>
          <w:szCs w:val="20"/>
        </w:rPr>
        <w:t>fédérateur</w:t>
      </w:r>
      <w:r>
        <w:rPr>
          <w:rFonts w:ascii="Calibri" w:hAnsi="Calibri"/>
          <w:sz w:val="20"/>
          <w:szCs w:val="20"/>
        </w:rPr>
        <w:t xml:space="preserve"> et efficace pour la France, valorisant </w:t>
      </w:r>
      <w:r w:rsidR="004C48CF">
        <w:rPr>
          <w:rFonts w:ascii="Calibri" w:hAnsi="Calibri"/>
          <w:sz w:val="20"/>
          <w:szCs w:val="20"/>
        </w:rPr>
        <w:t>aux yeux de nos voisins e</w:t>
      </w:r>
      <w:r w:rsidRPr="00207098">
        <w:rPr>
          <w:rFonts w:ascii="Calibri" w:hAnsi="Calibri"/>
          <w:sz w:val="20"/>
          <w:szCs w:val="20"/>
        </w:rPr>
        <w:t>uropéens.</w:t>
      </w:r>
    </w:p>
    <w:p w:rsidR="0071449E" w:rsidRDefault="0071449E" w:rsidP="00C9758A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</w:rPr>
      </w:pPr>
    </w:p>
    <w:p w:rsidR="0071449E" w:rsidRPr="00207098" w:rsidRDefault="0071449E" w:rsidP="00207098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0"/>
        </w:rPr>
      </w:pPr>
      <w:r w:rsidRPr="00207098">
        <w:rPr>
          <w:rFonts w:ascii="Calibri" w:hAnsi="Calibri"/>
          <w:sz w:val="20"/>
        </w:rPr>
        <w:t xml:space="preserve">Fait à Paris le 3 janvier 2013 - Publication autorisée </w:t>
      </w:r>
      <w:r w:rsidR="008338CD">
        <w:rPr>
          <w:rFonts w:ascii="Calibri" w:hAnsi="Calibri"/>
          <w:sz w:val="20"/>
        </w:rPr>
        <w:t xml:space="preserve">- </w:t>
      </w:r>
      <w:r w:rsidRPr="00207098">
        <w:rPr>
          <w:rFonts w:ascii="Calibri" w:hAnsi="Calibri"/>
          <w:sz w:val="20"/>
        </w:rPr>
        <w:t>Contact relation presse XPAIR.COM</w:t>
      </w:r>
    </w:p>
    <w:p w:rsidR="0071449E" w:rsidRPr="00C9758A" w:rsidRDefault="0071449E" w:rsidP="00C9758A"/>
    <w:p w:rsidR="0071449E" w:rsidRPr="00C9758A" w:rsidRDefault="0071449E" w:rsidP="00C9758A">
      <w:pPr>
        <w:pStyle w:val="Titre2"/>
        <w:tabs>
          <w:tab w:val="left" w:pos="9072"/>
          <w:tab w:val="left" w:pos="9214"/>
        </w:tabs>
        <w:ind w:right="1"/>
        <w:rPr>
          <w:rFonts w:ascii="Calibri" w:hAnsi="Calibri"/>
          <w:bCs w:val="0"/>
          <w:i/>
          <w:sz w:val="20"/>
        </w:rPr>
      </w:pPr>
      <w:r>
        <w:rPr>
          <w:rFonts w:ascii="Calibri" w:hAnsi="Calibri"/>
          <w:bCs w:val="0"/>
          <w:i/>
          <w:sz w:val="20"/>
        </w:rPr>
        <w:t xml:space="preserve">Philippe NUNES – pn@xpair.com </w:t>
      </w:r>
      <w:r w:rsidRPr="00C9758A">
        <w:rPr>
          <w:rFonts w:ascii="Calibri" w:hAnsi="Calibri"/>
          <w:bCs w:val="0"/>
          <w:i/>
          <w:sz w:val="20"/>
        </w:rPr>
        <w:t xml:space="preserve">  : Tél : 08 20 82 05 98</w:t>
      </w:r>
    </w:p>
    <w:p w:rsidR="0071449E" w:rsidRPr="00C9758A" w:rsidRDefault="0071449E" w:rsidP="00C9758A">
      <w:pPr>
        <w:pStyle w:val="Titre2"/>
        <w:tabs>
          <w:tab w:val="left" w:pos="9072"/>
          <w:tab w:val="left" w:pos="9214"/>
        </w:tabs>
        <w:ind w:right="1"/>
        <w:rPr>
          <w:rFonts w:ascii="Calibri" w:hAnsi="Calibri"/>
          <w:bCs w:val="0"/>
          <w:i/>
          <w:sz w:val="20"/>
        </w:rPr>
      </w:pPr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</w:p>
    <w:p w:rsidR="0071449E" w:rsidRPr="00EF56CD" w:rsidRDefault="0071449E" w:rsidP="00987788">
      <w:pPr>
        <w:jc w:val="both"/>
        <w:rPr>
          <w:rFonts w:ascii="Calibri" w:hAnsi="Calibri"/>
          <w:b/>
          <w:i/>
          <w:color w:val="00B050"/>
          <w:sz w:val="20"/>
          <w:szCs w:val="20"/>
        </w:rPr>
      </w:pPr>
      <w:r w:rsidRPr="00EF56CD">
        <w:rPr>
          <w:rFonts w:ascii="Calibri" w:hAnsi="Calibri"/>
          <w:b/>
          <w:i/>
          <w:color w:val="00B050"/>
          <w:sz w:val="20"/>
          <w:szCs w:val="20"/>
        </w:rPr>
        <w:t xml:space="preserve">Liens recommandés : </w:t>
      </w:r>
    </w:p>
    <w:p w:rsidR="0071449E" w:rsidRPr="00A32BDC" w:rsidRDefault="0071449E" w:rsidP="00987788">
      <w:pPr>
        <w:jc w:val="both"/>
        <w:rPr>
          <w:rFonts w:ascii="Calibri" w:hAnsi="Calibri"/>
          <w:b/>
          <w:i/>
          <w:sz w:val="20"/>
          <w:szCs w:val="20"/>
        </w:rPr>
      </w:pPr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 </w:t>
      </w:r>
      <w:hyperlink r:id="rId7" w:history="1">
        <w:r w:rsidRPr="008A7FED">
          <w:rPr>
            <w:rStyle w:val="Lienhypertexte"/>
            <w:rFonts w:ascii="Calibri" w:hAnsi="Calibri"/>
            <w:sz w:val="20"/>
            <w:szCs w:val="20"/>
          </w:rPr>
          <w:t>http://aicvf.org/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 </w:t>
      </w:r>
      <w:hyperlink r:id="rId8" w:history="1">
        <w:r w:rsidRPr="008A7FED">
          <w:rPr>
            <w:rStyle w:val="Lienhypertexte"/>
            <w:rFonts w:ascii="Calibri" w:hAnsi="Calibri"/>
            <w:sz w:val="20"/>
            <w:szCs w:val="20"/>
          </w:rPr>
          <w:t>http://www.atee.fr/</w:t>
        </w:r>
      </w:hyperlink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 </w:t>
      </w:r>
      <w:hyperlink r:id="rId9" w:history="1">
        <w:r w:rsidRPr="008A7FED">
          <w:rPr>
            <w:rStyle w:val="Lienhypertexte"/>
            <w:rFonts w:ascii="Calibri" w:hAnsi="Calibri"/>
            <w:sz w:val="20"/>
            <w:szCs w:val="20"/>
          </w:rPr>
          <w:t>http://www.capeb.fr/</w:t>
        </w:r>
      </w:hyperlink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 </w:t>
      </w:r>
      <w:hyperlink r:id="rId10" w:history="1">
        <w:r w:rsidRPr="008A7FED">
          <w:rPr>
            <w:rStyle w:val="Lienhypertexte"/>
            <w:rFonts w:ascii="Calibri" w:hAnsi="Calibri"/>
            <w:sz w:val="20"/>
            <w:szCs w:val="20"/>
          </w:rPr>
          <w:t>http://www.certinergy.com/</w:t>
        </w:r>
      </w:hyperlink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 </w:t>
      </w:r>
      <w:hyperlink r:id="rId11" w:history="1">
        <w:r w:rsidRPr="008A7FED">
          <w:rPr>
            <w:rStyle w:val="Lienhypertexte"/>
            <w:rFonts w:ascii="Calibri" w:hAnsi="Calibri"/>
            <w:sz w:val="20"/>
            <w:szCs w:val="20"/>
          </w:rPr>
          <w:t>http://france.edf.com/</w:t>
        </w:r>
      </w:hyperlink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 </w:t>
      </w:r>
      <w:hyperlink r:id="rId12" w:history="1">
        <w:r w:rsidRPr="008A7FED">
          <w:rPr>
            <w:rStyle w:val="Lienhypertexte"/>
            <w:rFonts w:ascii="Calibri" w:hAnsi="Calibri"/>
            <w:sz w:val="20"/>
            <w:szCs w:val="20"/>
          </w:rPr>
          <w:t>http://www.gdfsuez.com/</w:t>
        </w:r>
      </w:hyperlink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 </w:t>
      </w:r>
      <w:hyperlink r:id="rId13" w:history="1">
        <w:r w:rsidRPr="008A7FED">
          <w:rPr>
            <w:rStyle w:val="Lienhypertexte"/>
            <w:rFonts w:ascii="Calibri" w:hAnsi="Calibri"/>
            <w:sz w:val="20"/>
            <w:szCs w:val="20"/>
          </w:rPr>
          <w:t>http://www.pointp.fr/</w:t>
        </w:r>
      </w:hyperlink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 </w:t>
      </w:r>
      <w:hyperlink r:id="rId14" w:history="1">
        <w:r w:rsidRPr="008A7FED">
          <w:rPr>
            <w:rStyle w:val="Lienhypertexte"/>
            <w:rFonts w:ascii="Calibri" w:hAnsi="Calibri"/>
            <w:sz w:val="20"/>
            <w:szCs w:val="20"/>
          </w:rPr>
          <w:t>http://www.total.fr/</w:t>
        </w:r>
      </w:hyperlink>
    </w:p>
    <w:p w:rsidR="0071449E" w:rsidRDefault="0071449E" w:rsidP="0098778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 </w:t>
      </w:r>
      <w:hyperlink r:id="rId15" w:history="1">
        <w:r w:rsidRPr="008A7FED">
          <w:rPr>
            <w:rStyle w:val="Lienhypertexte"/>
            <w:rFonts w:ascii="Calibri" w:hAnsi="Calibri"/>
            <w:sz w:val="20"/>
            <w:szCs w:val="20"/>
          </w:rPr>
          <w:t>http://www.uecf.fr/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71449E" w:rsidRPr="00987788" w:rsidRDefault="0071449E" w:rsidP="0098778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 </w:t>
      </w:r>
      <w:hyperlink r:id="rId16" w:history="1">
        <w:r w:rsidRPr="008A7FED">
          <w:rPr>
            <w:rStyle w:val="Lienhypertexte"/>
            <w:rFonts w:ascii="Calibri" w:hAnsi="Calibri"/>
            <w:sz w:val="20"/>
            <w:szCs w:val="20"/>
          </w:rPr>
          <w:t>http://www.xpair.com/</w:t>
        </w:r>
      </w:hyperlink>
      <w:r>
        <w:rPr>
          <w:rFonts w:ascii="Calibri" w:hAnsi="Calibri"/>
          <w:sz w:val="20"/>
          <w:szCs w:val="20"/>
        </w:rPr>
        <w:t xml:space="preserve"> </w:t>
      </w:r>
    </w:p>
    <w:sectPr w:rsidR="0071449E" w:rsidRPr="00987788" w:rsidSect="00BD3E23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98" w:rsidRDefault="00BA3F98">
      <w:r>
        <w:separator/>
      </w:r>
    </w:p>
  </w:endnote>
  <w:endnote w:type="continuationSeparator" w:id="0">
    <w:p w:rsidR="00BA3F98" w:rsidRDefault="00BA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9E" w:rsidRDefault="00850653" w:rsidP="00047C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49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1449E" w:rsidRDefault="0071449E" w:rsidP="001F4B8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9E" w:rsidRDefault="00850653" w:rsidP="00047C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49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338CD">
      <w:rPr>
        <w:rStyle w:val="Numrodepage"/>
        <w:noProof/>
      </w:rPr>
      <w:t>3</w:t>
    </w:r>
    <w:r>
      <w:rPr>
        <w:rStyle w:val="Numrodepage"/>
      </w:rPr>
      <w:fldChar w:fldCharType="end"/>
    </w:r>
  </w:p>
  <w:p w:rsidR="0071449E" w:rsidRDefault="0071449E" w:rsidP="001F4B8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98" w:rsidRDefault="00BA3F98">
      <w:r>
        <w:separator/>
      </w:r>
    </w:p>
  </w:footnote>
  <w:footnote w:type="continuationSeparator" w:id="0">
    <w:p w:rsidR="00BA3F98" w:rsidRDefault="00BA3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820"/>
    <w:multiLevelType w:val="hybridMultilevel"/>
    <w:tmpl w:val="11C28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27CC2"/>
    <w:multiLevelType w:val="hybridMultilevel"/>
    <w:tmpl w:val="61602A70"/>
    <w:lvl w:ilvl="0" w:tplc="D0EA476C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CD23FE3"/>
    <w:multiLevelType w:val="hybridMultilevel"/>
    <w:tmpl w:val="3B1285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76372"/>
    <w:multiLevelType w:val="hybridMultilevel"/>
    <w:tmpl w:val="B73AD1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3207C2"/>
    <w:multiLevelType w:val="hybridMultilevel"/>
    <w:tmpl w:val="97DECA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06EF1"/>
    <w:multiLevelType w:val="hybridMultilevel"/>
    <w:tmpl w:val="E1344C8C"/>
    <w:lvl w:ilvl="0" w:tplc="040C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5A3B41FC"/>
    <w:multiLevelType w:val="hybridMultilevel"/>
    <w:tmpl w:val="61602A70"/>
    <w:lvl w:ilvl="0" w:tplc="D0EA476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131200"/>
    <w:multiLevelType w:val="hybridMultilevel"/>
    <w:tmpl w:val="9320BB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385F48"/>
    <w:multiLevelType w:val="hybridMultilevel"/>
    <w:tmpl w:val="28B894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B3ED1"/>
    <w:multiLevelType w:val="hybridMultilevel"/>
    <w:tmpl w:val="37A63B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085FF1"/>
    <w:multiLevelType w:val="hybridMultilevel"/>
    <w:tmpl w:val="149C15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DD"/>
    <w:rsid w:val="000073B0"/>
    <w:rsid w:val="000249FA"/>
    <w:rsid w:val="00047CBE"/>
    <w:rsid w:val="000561C8"/>
    <w:rsid w:val="00081D87"/>
    <w:rsid w:val="000E6CD4"/>
    <w:rsid w:val="000F0A9F"/>
    <w:rsid w:val="000F2784"/>
    <w:rsid w:val="00102ECD"/>
    <w:rsid w:val="001051B9"/>
    <w:rsid w:val="00106ABD"/>
    <w:rsid w:val="00112EC0"/>
    <w:rsid w:val="0013464C"/>
    <w:rsid w:val="001627E8"/>
    <w:rsid w:val="00163771"/>
    <w:rsid w:val="00170C5A"/>
    <w:rsid w:val="0017106C"/>
    <w:rsid w:val="00190FD8"/>
    <w:rsid w:val="001946DE"/>
    <w:rsid w:val="001B1DD2"/>
    <w:rsid w:val="001E56FF"/>
    <w:rsid w:val="001F4B88"/>
    <w:rsid w:val="001F631F"/>
    <w:rsid w:val="00203243"/>
    <w:rsid w:val="00207098"/>
    <w:rsid w:val="00215123"/>
    <w:rsid w:val="00241859"/>
    <w:rsid w:val="002424A9"/>
    <w:rsid w:val="002667EC"/>
    <w:rsid w:val="002A00A8"/>
    <w:rsid w:val="002A1162"/>
    <w:rsid w:val="002B235D"/>
    <w:rsid w:val="002C74A4"/>
    <w:rsid w:val="002D4260"/>
    <w:rsid w:val="00313397"/>
    <w:rsid w:val="00336565"/>
    <w:rsid w:val="00367FDD"/>
    <w:rsid w:val="003762B3"/>
    <w:rsid w:val="0039222D"/>
    <w:rsid w:val="003B1BB1"/>
    <w:rsid w:val="003E5D17"/>
    <w:rsid w:val="003F50E8"/>
    <w:rsid w:val="00401ED5"/>
    <w:rsid w:val="004061F0"/>
    <w:rsid w:val="0041444E"/>
    <w:rsid w:val="004234BB"/>
    <w:rsid w:val="00425786"/>
    <w:rsid w:val="004337D7"/>
    <w:rsid w:val="00457DB5"/>
    <w:rsid w:val="004A41D2"/>
    <w:rsid w:val="004B71A2"/>
    <w:rsid w:val="004C48CF"/>
    <w:rsid w:val="004E1B82"/>
    <w:rsid w:val="004E599E"/>
    <w:rsid w:val="004E6896"/>
    <w:rsid w:val="00521A21"/>
    <w:rsid w:val="00523F2A"/>
    <w:rsid w:val="0053295B"/>
    <w:rsid w:val="005563C1"/>
    <w:rsid w:val="00564ADF"/>
    <w:rsid w:val="005B2D21"/>
    <w:rsid w:val="005F6550"/>
    <w:rsid w:val="0069468C"/>
    <w:rsid w:val="006A1802"/>
    <w:rsid w:val="006B1762"/>
    <w:rsid w:val="006C1722"/>
    <w:rsid w:val="006C45E4"/>
    <w:rsid w:val="006D3B21"/>
    <w:rsid w:val="006F0F96"/>
    <w:rsid w:val="0071449E"/>
    <w:rsid w:val="00743FE7"/>
    <w:rsid w:val="00753B4F"/>
    <w:rsid w:val="007664D8"/>
    <w:rsid w:val="0079524D"/>
    <w:rsid w:val="007A7793"/>
    <w:rsid w:val="007B7BE0"/>
    <w:rsid w:val="007D2C15"/>
    <w:rsid w:val="007F5705"/>
    <w:rsid w:val="0081030E"/>
    <w:rsid w:val="008338CD"/>
    <w:rsid w:val="00850653"/>
    <w:rsid w:val="00865BDD"/>
    <w:rsid w:val="0087009A"/>
    <w:rsid w:val="00872208"/>
    <w:rsid w:val="0088105D"/>
    <w:rsid w:val="00886991"/>
    <w:rsid w:val="0089334C"/>
    <w:rsid w:val="008A7FED"/>
    <w:rsid w:val="008C0114"/>
    <w:rsid w:val="008D4555"/>
    <w:rsid w:val="008E0706"/>
    <w:rsid w:val="008E0D7D"/>
    <w:rsid w:val="008E2BB2"/>
    <w:rsid w:val="008F6B08"/>
    <w:rsid w:val="00925CCB"/>
    <w:rsid w:val="00932CDF"/>
    <w:rsid w:val="00945493"/>
    <w:rsid w:val="00966744"/>
    <w:rsid w:val="00966A81"/>
    <w:rsid w:val="0096755F"/>
    <w:rsid w:val="00975828"/>
    <w:rsid w:val="0098042F"/>
    <w:rsid w:val="00987788"/>
    <w:rsid w:val="00993EE5"/>
    <w:rsid w:val="009C2226"/>
    <w:rsid w:val="009E28FA"/>
    <w:rsid w:val="00A04222"/>
    <w:rsid w:val="00A32BDC"/>
    <w:rsid w:val="00A418AE"/>
    <w:rsid w:val="00A4343F"/>
    <w:rsid w:val="00A45AC4"/>
    <w:rsid w:val="00A6270F"/>
    <w:rsid w:val="00A6445B"/>
    <w:rsid w:val="00A65CB7"/>
    <w:rsid w:val="00A76F59"/>
    <w:rsid w:val="00AD531B"/>
    <w:rsid w:val="00AF6444"/>
    <w:rsid w:val="00AF7675"/>
    <w:rsid w:val="00B13E5A"/>
    <w:rsid w:val="00B23ABB"/>
    <w:rsid w:val="00B424E2"/>
    <w:rsid w:val="00B42FEE"/>
    <w:rsid w:val="00B5736D"/>
    <w:rsid w:val="00B576B6"/>
    <w:rsid w:val="00B616C1"/>
    <w:rsid w:val="00B75B34"/>
    <w:rsid w:val="00B93F82"/>
    <w:rsid w:val="00BA3F98"/>
    <w:rsid w:val="00BB2B8F"/>
    <w:rsid w:val="00BB4A51"/>
    <w:rsid w:val="00BD3E23"/>
    <w:rsid w:val="00BF21AA"/>
    <w:rsid w:val="00C07AF1"/>
    <w:rsid w:val="00C2112A"/>
    <w:rsid w:val="00C311F5"/>
    <w:rsid w:val="00C73FF4"/>
    <w:rsid w:val="00C75809"/>
    <w:rsid w:val="00C96213"/>
    <w:rsid w:val="00C9758A"/>
    <w:rsid w:val="00CE2B0B"/>
    <w:rsid w:val="00CF7A85"/>
    <w:rsid w:val="00D00FD5"/>
    <w:rsid w:val="00D02A1F"/>
    <w:rsid w:val="00D52B0F"/>
    <w:rsid w:val="00DA1262"/>
    <w:rsid w:val="00DA4508"/>
    <w:rsid w:val="00DE0B1D"/>
    <w:rsid w:val="00DE1B3B"/>
    <w:rsid w:val="00E065DC"/>
    <w:rsid w:val="00E06F08"/>
    <w:rsid w:val="00E228F9"/>
    <w:rsid w:val="00E43102"/>
    <w:rsid w:val="00E50D68"/>
    <w:rsid w:val="00E706AE"/>
    <w:rsid w:val="00E93D99"/>
    <w:rsid w:val="00EC4FCC"/>
    <w:rsid w:val="00ED3F81"/>
    <w:rsid w:val="00EF56CD"/>
    <w:rsid w:val="00EF6E40"/>
    <w:rsid w:val="00F03E8B"/>
    <w:rsid w:val="00F154A5"/>
    <w:rsid w:val="00F23BBD"/>
    <w:rsid w:val="00F41488"/>
    <w:rsid w:val="00F51F7F"/>
    <w:rsid w:val="00F52315"/>
    <w:rsid w:val="00F75F6B"/>
    <w:rsid w:val="00F85D8F"/>
    <w:rsid w:val="00FA274E"/>
    <w:rsid w:val="00FC2206"/>
    <w:rsid w:val="00FE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23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9758A"/>
    <w:pPr>
      <w:keepNext/>
      <w:ind w:right="-233"/>
      <w:jc w:val="center"/>
      <w:outlineLvl w:val="1"/>
    </w:pPr>
    <w:rPr>
      <w:rFonts w:ascii="Verdana" w:hAnsi="Verdana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C975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72"/>
      </w:tabs>
      <w:ind w:right="1"/>
      <w:jc w:val="center"/>
      <w:outlineLvl w:val="3"/>
    </w:pPr>
    <w:rPr>
      <w:b/>
      <w:i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C9758A"/>
    <w:rPr>
      <w:rFonts w:ascii="Verdana" w:hAnsi="Verdana" w:cs="Times New Roman"/>
      <w:b/>
      <w:bCs/>
      <w:sz w:val="28"/>
    </w:rPr>
  </w:style>
  <w:style w:type="character" w:customStyle="1" w:styleId="Titre4Car">
    <w:name w:val="Titre 4 Car"/>
    <w:basedOn w:val="Policepardfaut"/>
    <w:link w:val="Titre4"/>
    <w:uiPriority w:val="99"/>
    <w:locked/>
    <w:rsid w:val="00C9758A"/>
    <w:rPr>
      <w:rFonts w:cs="Times New Roman"/>
      <w:b/>
      <w:i/>
      <w:sz w:val="28"/>
    </w:rPr>
  </w:style>
  <w:style w:type="paragraph" w:styleId="Pieddepage">
    <w:name w:val="footer"/>
    <w:basedOn w:val="Normal"/>
    <w:link w:val="PieddepageCar"/>
    <w:uiPriority w:val="99"/>
    <w:rsid w:val="001F4B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2112A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1F4B8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42578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C9758A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locked/>
    <w:rsid w:val="00966A8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e.fr/" TargetMode="External"/><Relationship Id="rId13" Type="http://schemas.openxmlformats.org/officeDocument/2006/relationships/hyperlink" Target="http://www.pointp.fr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icvf.org/" TargetMode="External"/><Relationship Id="rId12" Type="http://schemas.openxmlformats.org/officeDocument/2006/relationships/hyperlink" Target="http://www.gdfsuez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xpai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ance.edf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ecf.fr/" TargetMode="External"/><Relationship Id="rId10" Type="http://schemas.openxmlformats.org/officeDocument/2006/relationships/hyperlink" Target="http://www.certinerg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peb.fr/" TargetMode="External"/><Relationship Id="rId14" Type="http://schemas.openxmlformats.org/officeDocument/2006/relationships/hyperlink" Target="http://www.total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1594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Conférence débat CEE organisée par AICVf et ATEE Ile de France le 21 décembre</vt:lpstr>
    </vt:vector>
  </TitlesOfParts>
  <Company>SAINT-GOBAIN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Conférence débat CEE organisée par AICVf et ATEE Ile de France le 21 décembre</dc:title>
  <dc:creator>J0207940</dc:creator>
  <cp:lastModifiedBy>FCaucat - XPAIR</cp:lastModifiedBy>
  <cp:revision>4</cp:revision>
  <dcterms:created xsi:type="dcterms:W3CDTF">2013-01-04T09:43:00Z</dcterms:created>
  <dcterms:modified xsi:type="dcterms:W3CDTF">2013-01-07T14:32:00Z</dcterms:modified>
</cp:coreProperties>
</file>